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1732B52D"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250A93D5" w:rsidR="007F1A85" w:rsidRPr="00F47DEE" w:rsidRDefault="001376A6" w:rsidP="00CF3582">
            <w:pPr>
              <w:tabs>
                <w:tab w:val="left" w:pos="720"/>
                <w:tab w:val="left" w:pos="1080"/>
                <w:tab w:val="left" w:pos="1725"/>
              </w:tabs>
              <w:rPr>
                <w:rFonts w:ascii="Arial" w:hAnsi="Arial" w:cs="Arial"/>
              </w:rPr>
            </w:pPr>
            <w:r>
              <w:rPr>
                <w:rFonts w:ascii="Arial" w:hAnsi="Arial" w:cs="Arial"/>
              </w:rPr>
              <w:t xml:space="preserve">February </w:t>
            </w:r>
            <w:r w:rsidR="008E54C3">
              <w:rPr>
                <w:rFonts w:ascii="Arial" w:hAnsi="Arial" w:cs="Arial"/>
              </w:rPr>
              <w:t>20, 2024</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1842EB6D" w:rsidR="0088605A" w:rsidRPr="00F47DEE" w:rsidRDefault="008E54C3" w:rsidP="005F3826">
            <w:pPr>
              <w:tabs>
                <w:tab w:val="left" w:pos="720"/>
                <w:tab w:val="left" w:pos="1080"/>
              </w:tabs>
              <w:rPr>
                <w:rFonts w:ascii="Arial" w:hAnsi="Arial" w:cs="Arial"/>
              </w:rPr>
            </w:pPr>
            <w:r>
              <w:rPr>
                <w:rFonts w:ascii="Arial" w:hAnsi="Arial" w:cs="Arial"/>
              </w:rPr>
              <w:t>Caitlin Smith</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15F5457C" w14:textId="08EA6287" w:rsidR="005C33DD" w:rsidRPr="00DE2AE6" w:rsidRDefault="007D620B" w:rsidP="005C33DD">
            <w:pPr>
              <w:pStyle w:val="BulletIndent"/>
              <w:rPr>
                <w:rFonts w:ascii="Arial" w:hAnsi="Arial" w:cs="Arial"/>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5C33DD" w:rsidRPr="005C33DD">
              <w:rPr>
                <w:rFonts w:ascii="Arial" w:hAnsi="Arial" w:cs="Arial"/>
                <w:b/>
                <w:bCs/>
                <w:szCs w:val="24"/>
              </w:rPr>
              <w:t xml:space="preserve">  </w:t>
            </w:r>
            <w:r w:rsidR="008E54C3">
              <w:rPr>
                <w:rFonts w:ascii="Arial" w:hAnsi="Arial" w:cs="Arial"/>
                <w:szCs w:val="24"/>
              </w:rPr>
              <w:t>February 27, 2024</w:t>
            </w:r>
          </w:p>
          <w:p w14:paraId="54AFDC54" w14:textId="69C07968"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CE135F">
              <w:rPr>
                <w:rFonts w:ascii="Arial" w:hAnsi="Arial" w:cs="Arial"/>
                <w:bCs/>
                <w:szCs w:val="24"/>
              </w:rPr>
              <w:t>4.1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7C8EF37" w:rsidR="007D620B" w:rsidRPr="00F47DEE" w:rsidRDefault="007D620B" w:rsidP="00A62562">
            <w:pPr>
              <w:pStyle w:val="Heading5"/>
              <w:keepNext w:val="0"/>
              <w:jc w:val="both"/>
              <w:rPr>
                <w:rFonts w:ascii="Arial" w:hAnsi="Arial" w:cs="Arial"/>
                <w:b/>
                <w:bCs/>
              </w:rPr>
            </w:pPr>
            <w:bookmarkStart w:id="0" w:name="_Hlk89092089"/>
            <w:r w:rsidRPr="00F47DEE">
              <w:rPr>
                <w:rFonts w:ascii="Arial" w:hAnsi="Arial" w:cs="Arial"/>
                <w:b/>
                <w:bCs/>
              </w:rPr>
              <w:t>Issue:</w:t>
            </w:r>
          </w:p>
          <w:p w14:paraId="76D9134F" w14:textId="4B01AB6A" w:rsidR="00A53564" w:rsidRPr="00A8165F" w:rsidRDefault="009C6BA6" w:rsidP="00A8165F">
            <w:pPr>
              <w:pStyle w:val="Heading5"/>
              <w:keepNext w:val="0"/>
              <w:jc w:val="both"/>
              <w:rPr>
                <w:rFonts w:ascii="Arial" w:hAnsi="Arial" w:cs="Arial"/>
                <w:bCs/>
                <w:u w:val="none"/>
              </w:rPr>
            </w:pPr>
            <w:bookmarkStart w:id="1" w:name="_Hlk89194259"/>
            <w:r w:rsidRPr="00F47DEE">
              <w:rPr>
                <w:rFonts w:ascii="Arial" w:hAnsi="Arial" w:cs="Arial"/>
                <w:bCs/>
                <w:u w:val="none"/>
              </w:rPr>
              <w:t xml:space="preserve">Consideration of the following </w:t>
            </w:r>
            <w:r w:rsidR="00EA565D">
              <w:rPr>
                <w:rFonts w:ascii="Arial" w:hAnsi="Arial" w:cs="Arial"/>
                <w:bCs/>
                <w:u w:val="none"/>
              </w:rPr>
              <w:t>Revision Requests</w:t>
            </w:r>
            <w:r w:rsidR="00381767">
              <w:rPr>
                <w:rFonts w:ascii="Arial" w:hAnsi="Arial" w:cs="Arial"/>
                <w:bCs/>
                <w:u w:val="none"/>
              </w:rPr>
              <w:t>:</w:t>
            </w:r>
            <w:r w:rsidR="00EA565D">
              <w:rPr>
                <w:rFonts w:ascii="Arial" w:hAnsi="Arial" w:cs="Arial"/>
                <w:bCs/>
                <w:u w:val="none"/>
              </w:rPr>
              <w:t xml:space="preserve"> </w:t>
            </w:r>
            <w:r w:rsidR="00657622">
              <w:rPr>
                <w:rFonts w:ascii="Arial" w:hAnsi="Arial" w:cs="Arial"/>
                <w:bCs/>
                <w:u w:val="none"/>
              </w:rPr>
              <w:t>Nodal Protocol Revision Requests (NPRRs</w:t>
            </w:r>
            <w:r w:rsidR="009922C0">
              <w:rPr>
                <w:rFonts w:ascii="Arial" w:hAnsi="Arial" w:cs="Arial"/>
                <w:bCs/>
                <w:u w:val="none"/>
              </w:rPr>
              <w:t>)</w:t>
            </w:r>
            <w:r w:rsidR="00F53FA3">
              <w:rPr>
                <w:rFonts w:ascii="Arial" w:hAnsi="Arial" w:cs="Arial"/>
                <w:bCs/>
                <w:u w:val="none"/>
              </w:rPr>
              <w:t xml:space="preserve">, </w:t>
            </w:r>
            <w:r w:rsidR="008E54C3">
              <w:rPr>
                <w:rFonts w:ascii="Arial" w:hAnsi="Arial" w:cs="Arial"/>
                <w:bCs/>
                <w:u w:val="none"/>
              </w:rPr>
              <w:t xml:space="preserve">Load Profiling Guide Revision Request (LPGRR), </w:t>
            </w:r>
            <w:r w:rsidR="00AE6A17">
              <w:rPr>
                <w:rFonts w:ascii="Arial" w:hAnsi="Arial" w:cs="Arial"/>
                <w:bCs/>
                <w:u w:val="none"/>
              </w:rPr>
              <w:t>Nodal Operating Guide Revision Request (NOGRR), Planning Guide Revision Request (PGRR), Retail Market Guide Revision Request (RMGRR)</w:t>
            </w:r>
            <w:r w:rsidR="008E54C3">
              <w:rPr>
                <w:rFonts w:ascii="Arial" w:hAnsi="Arial" w:cs="Arial"/>
                <w:bCs/>
                <w:u w:val="none"/>
              </w:rPr>
              <w:t>, System Change Request (SCR), and Settlement Metering Operating Guide Revision Requests (SMOGRRs)</w:t>
            </w:r>
            <w:r w:rsidR="00A53564" w:rsidRPr="000377DE">
              <w:rPr>
                <w:rFonts w:ascii="Arial" w:hAnsi="Arial" w:cs="Arial"/>
                <w:bCs/>
                <w:u w:val="none"/>
              </w:rPr>
              <w:t xml:space="preserve"> </w:t>
            </w:r>
            <w:r w:rsidRPr="00F47DEE">
              <w:rPr>
                <w:rFonts w:ascii="Arial" w:hAnsi="Arial" w:cs="Arial"/>
                <w:bCs/>
                <w:u w:val="none"/>
              </w:rPr>
              <w:t>recommended for approval by TAC (with no opposing votes recorded):</w:t>
            </w:r>
          </w:p>
          <w:p w14:paraId="4AC92F53" w14:textId="05F487D1" w:rsidR="009202E9" w:rsidRPr="00D42E64" w:rsidRDefault="009202E9" w:rsidP="009202E9">
            <w:pPr>
              <w:pStyle w:val="ListParagraph"/>
              <w:numPr>
                <w:ilvl w:val="0"/>
                <w:numId w:val="6"/>
              </w:numPr>
              <w:rPr>
                <w:rFonts w:ascii="Arial" w:hAnsi="Arial" w:cs="Arial"/>
                <w:bCs/>
              </w:rPr>
            </w:pPr>
            <w:bookmarkStart w:id="2" w:name="_Hlk158818008"/>
            <w:bookmarkEnd w:id="1"/>
            <w:r w:rsidRPr="00D42E64">
              <w:rPr>
                <w:rFonts w:ascii="Arial" w:hAnsi="Arial" w:cs="Arial"/>
                <w:bCs/>
              </w:rPr>
              <w:t xml:space="preserve">NPRR1170, </w:t>
            </w:r>
            <w:r w:rsidR="00E56C58" w:rsidRPr="00E56C58">
              <w:rPr>
                <w:rFonts w:ascii="Arial" w:hAnsi="Arial" w:cs="Arial"/>
                <w:bCs/>
              </w:rPr>
              <w:t>Submission of Gas Supply Disruption</w:t>
            </w:r>
            <w:r w:rsidR="00424C42" w:rsidRPr="00D42E64">
              <w:rPr>
                <w:rFonts w:ascii="Arial" w:hAnsi="Arial" w:cs="Arial"/>
                <w:bCs/>
              </w:rPr>
              <w:t>;</w:t>
            </w:r>
            <w:r w:rsidRPr="00D42E64">
              <w:rPr>
                <w:rFonts w:ascii="Arial" w:hAnsi="Arial" w:cs="Arial"/>
                <w:bCs/>
              </w:rPr>
              <w:t xml:space="preserve"> </w:t>
            </w:r>
          </w:p>
          <w:p w14:paraId="23294E02" w14:textId="717189BF" w:rsidR="009202E9" w:rsidRPr="00D42E64" w:rsidRDefault="009202E9" w:rsidP="009202E9">
            <w:pPr>
              <w:pStyle w:val="ListParagraph"/>
              <w:numPr>
                <w:ilvl w:val="0"/>
                <w:numId w:val="6"/>
              </w:numPr>
              <w:rPr>
                <w:rFonts w:ascii="Arial" w:hAnsi="Arial" w:cs="Arial"/>
                <w:bCs/>
              </w:rPr>
            </w:pPr>
            <w:r w:rsidRPr="00D42E64">
              <w:rPr>
                <w:rFonts w:ascii="Arial" w:hAnsi="Arial" w:cs="Arial"/>
                <w:bCs/>
              </w:rPr>
              <w:t>NPRR1179, Fuel Purchase Requirements for Resources Submitting RUC Fuel Costs – URGENT</w:t>
            </w:r>
            <w:r w:rsidR="00424C42" w:rsidRPr="00D42E64">
              <w:rPr>
                <w:rFonts w:ascii="Arial" w:hAnsi="Arial" w:cs="Arial"/>
                <w:bCs/>
              </w:rPr>
              <w:t>;</w:t>
            </w:r>
            <w:r w:rsidRPr="00D42E64">
              <w:rPr>
                <w:rFonts w:ascii="Arial" w:hAnsi="Arial" w:cs="Arial"/>
                <w:bCs/>
              </w:rPr>
              <w:t xml:space="preserve"> </w:t>
            </w:r>
          </w:p>
          <w:p w14:paraId="34DDC3AD" w14:textId="2BBE6052" w:rsidR="009202E9" w:rsidRPr="00D42E64" w:rsidRDefault="009202E9" w:rsidP="009202E9">
            <w:pPr>
              <w:pStyle w:val="ListParagraph"/>
              <w:numPr>
                <w:ilvl w:val="0"/>
                <w:numId w:val="6"/>
              </w:numPr>
              <w:rPr>
                <w:rFonts w:ascii="Arial" w:hAnsi="Arial" w:cs="Arial"/>
                <w:bCs/>
              </w:rPr>
            </w:pPr>
            <w:r w:rsidRPr="00D42E64">
              <w:rPr>
                <w:rFonts w:ascii="Arial" w:hAnsi="Arial" w:cs="Arial"/>
                <w:bCs/>
              </w:rPr>
              <w:t xml:space="preserve">NPRR1193, </w:t>
            </w:r>
            <w:r w:rsidR="00424C42" w:rsidRPr="00D42E64">
              <w:rPr>
                <w:rFonts w:ascii="Arial" w:hAnsi="Arial" w:cs="Arial"/>
                <w:bCs/>
              </w:rPr>
              <w:t>Related to SMOGRR027, Move OBD to Settlement Metering Operating Guide – EPS Metering Design Proposal;</w:t>
            </w:r>
          </w:p>
          <w:p w14:paraId="02A267D1" w14:textId="4181EE0D" w:rsidR="009202E9" w:rsidRPr="00D42E64" w:rsidRDefault="009202E9" w:rsidP="009202E9">
            <w:pPr>
              <w:pStyle w:val="ListParagraph"/>
              <w:numPr>
                <w:ilvl w:val="0"/>
                <w:numId w:val="6"/>
              </w:numPr>
              <w:rPr>
                <w:rFonts w:ascii="Arial" w:hAnsi="Arial" w:cs="Arial"/>
                <w:bCs/>
              </w:rPr>
            </w:pPr>
            <w:r w:rsidRPr="00D42E64">
              <w:rPr>
                <w:rFonts w:ascii="Arial" w:hAnsi="Arial" w:cs="Arial"/>
                <w:bCs/>
              </w:rPr>
              <w:t>NPRR1195, Resource Entity Metering Facilities Maintenance</w:t>
            </w:r>
            <w:r w:rsidR="00424C42" w:rsidRPr="00D42E64">
              <w:rPr>
                <w:rFonts w:ascii="Arial" w:hAnsi="Arial" w:cs="Arial"/>
                <w:bCs/>
              </w:rPr>
              <w:t>;</w:t>
            </w:r>
            <w:r w:rsidRPr="00D42E64">
              <w:rPr>
                <w:rFonts w:ascii="Arial" w:hAnsi="Arial" w:cs="Arial"/>
                <w:bCs/>
              </w:rPr>
              <w:t xml:space="preserve"> </w:t>
            </w:r>
          </w:p>
          <w:p w14:paraId="62B88B45" w14:textId="30962E68" w:rsidR="009202E9" w:rsidRPr="00D42E64" w:rsidRDefault="009202E9" w:rsidP="009202E9">
            <w:pPr>
              <w:numPr>
                <w:ilvl w:val="0"/>
                <w:numId w:val="6"/>
              </w:numPr>
              <w:jc w:val="both"/>
              <w:rPr>
                <w:rFonts w:ascii="Arial" w:hAnsi="Arial" w:cs="Arial"/>
              </w:rPr>
            </w:pPr>
            <w:r w:rsidRPr="00D42E64">
              <w:rPr>
                <w:rFonts w:ascii="Arial" w:hAnsi="Arial" w:cs="Arial"/>
              </w:rPr>
              <w:t>NPRR1199, Implementation of Lone Star Infrastructure Protection Act (LSIPA) Requirements – URGENT</w:t>
            </w:r>
            <w:r w:rsidR="00424C42" w:rsidRPr="00D42E64">
              <w:rPr>
                <w:rFonts w:ascii="Arial" w:hAnsi="Arial" w:cs="Arial"/>
              </w:rPr>
              <w:t>;</w:t>
            </w:r>
            <w:r w:rsidRPr="00D42E64">
              <w:rPr>
                <w:rFonts w:ascii="Arial" w:hAnsi="Arial" w:cs="Arial"/>
              </w:rPr>
              <w:t xml:space="preserve"> </w:t>
            </w:r>
          </w:p>
          <w:p w14:paraId="2B755C2C" w14:textId="529CC1DE" w:rsidR="009202E9" w:rsidRPr="00D42E64" w:rsidRDefault="009202E9" w:rsidP="009202E9">
            <w:pPr>
              <w:pStyle w:val="ListParagraph"/>
              <w:numPr>
                <w:ilvl w:val="0"/>
                <w:numId w:val="6"/>
              </w:numPr>
              <w:rPr>
                <w:rFonts w:ascii="Arial" w:hAnsi="Arial" w:cs="Arial"/>
                <w:bCs/>
              </w:rPr>
            </w:pPr>
            <w:r w:rsidRPr="00D42E64">
              <w:rPr>
                <w:rFonts w:ascii="Arial" w:hAnsi="Arial" w:cs="Arial"/>
                <w:bCs/>
              </w:rPr>
              <w:t>NPRR1206, Revisions to QSE Operations and Termination Requirements, and Elimination of Providing Certain Market Participant Principal Information</w:t>
            </w:r>
            <w:r w:rsidR="00424C42" w:rsidRPr="00D42E64">
              <w:rPr>
                <w:rFonts w:ascii="Arial" w:hAnsi="Arial" w:cs="Arial"/>
                <w:bCs/>
              </w:rPr>
              <w:t>;</w:t>
            </w:r>
          </w:p>
          <w:p w14:paraId="505DD402" w14:textId="2D555EE8" w:rsidR="009202E9" w:rsidRPr="00D42E64" w:rsidRDefault="009202E9" w:rsidP="009202E9">
            <w:pPr>
              <w:pStyle w:val="ListParagraph"/>
              <w:numPr>
                <w:ilvl w:val="0"/>
                <w:numId w:val="6"/>
              </w:numPr>
              <w:rPr>
                <w:rFonts w:ascii="Arial" w:hAnsi="Arial" w:cs="Arial"/>
                <w:bCs/>
              </w:rPr>
            </w:pPr>
            <w:r w:rsidRPr="00D42E64">
              <w:rPr>
                <w:rFonts w:ascii="Arial" w:hAnsi="Arial" w:cs="Arial"/>
                <w:bCs/>
              </w:rPr>
              <w:t>NPRR1207, Incidental Disclosure of Protected Information and ECEII During ERCOT Control Room Tours</w:t>
            </w:r>
            <w:r w:rsidR="00424C42" w:rsidRPr="00D42E64">
              <w:rPr>
                <w:rFonts w:ascii="Arial" w:hAnsi="Arial" w:cs="Arial"/>
                <w:bCs/>
              </w:rPr>
              <w:t>;</w:t>
            </w:r>
          </w:p>
          <w:p w14:paraId="3A9B4145" w14:textId="3F26A95F" w:rsidR="009202E9" w:rsidRPr="00D42E64" w:rsidRDefault="009202E9" w:rsidP="009202E9">
            <w:pPr>
              <w:pStyle w:val="ListParagraph"/>
              <w:numPr>
                <w:ilvl w:val="0"/>
                <w:numId w:val="6"/>
              </w:numPr>
              <w:rPr>
                <w:rFonts w:ascii="Arial" w:hAnsi="Arial" w:cs="Arial"/>
                <w:bCs/>
              </w:rPr>
            </w:pPr>
            <w:r w:rsidRPr="00D42E64">
              <w:rPr>
                <w:rFonts w:ascii="Arial" w:hAnsi="Arial" w:cs="Arial"/>
                <w:bCs/>
              </w:rPr>
              <w:t>NPRR1208, Creation of Invoice Report</w:t>
            </w:r>
            <w:r w:rsidR="00424C42" w:rsidRPr="00D42E64">
              <w:rPr>
                <w:rFonts w:ascii="Arial" w:hAnsi="Arial" w:cs="Arial"/>
                <w:bCs/>
              </w:rPr>
              <w:t>;</w:t>
            </w:r>
            <w:r w:rsidRPr="00D42E64">
              <w:rPr>
                <w:rFonts w:ascii="Arial" w:hAnsi="Arial" w:cs="Arial"/>
                <w:bCs/>
              </w:rPr>
              <w:t xml:space="preserve"> </w:t>
            </w:r>
          </w:p>
          <w:p w14:paraId="7555FC45" w14:textId="7A905321" w:rsidR="009202E9" w:rsidRPr="00D42E64" w:rsidRDefault="00D42E64" w:rsidP="009202E9">
            <w:pPr>
              <w:numPr>
                <w:ilvl w:val="0"/>
                <w:numId w:val="6"/>
              </w:numPr>
              <w:jc w:val="both"/>
              <w:rPr>
                <w:rFonts w:ascii="Arial" w:hAnsi="Arial" w:cs="Arial"/>
              </w:rPr>
            </w:pPr>
            <w:r w:rsidRPr="00D42E64">
              <w:rPr>
                <w:rFonts w:ascii="Arial" w:hAnsi="Arial" w:cs="Arial"/>
              </w:rPr>
              <w:t>N</w:t>
            </w:r>
            <w:r w:rsidR="009202E9" w:rsidRPr="00D42E64">
              <w:rPr>
                <w:rFonts w:ascii="Arial" w:hAnsi="Arial" w:cs="Arial"/>
              </w:rPr>
              <w:t>PRR1210, Next Start Resource Test and Load-Carrying Test Frequency</w:t>
            </w:r>
            <w:r w:rsidR="00424C42" w:rsidRPr="00D42E64">
              <w:rPr>
                <w:rFonts w:ascii="Arial" w:hAnsi="Arial" w:cs="Arial"/>
              </w:rPr>
              <w:t>;</w:t>
            </w:r>
            <w:r w:rsidR="009202E9" w:rsidRPr="00D42E64">
              <w:rPr>
                <w:rFonts w:ascii="Arial" w:hAnsi="Arial" w:cs="Arial"/>
              </w:rPr>
              <w:t xml:space="preserve"> </w:t>
            </w:r>
          </w:p>
          <w:p w14:paraId="7123C729" w14:textId="31B7FD6F" w:rsidR="009202E9" w:rsidRPr="00D42E64" w:rsidRDefault="009202E9" w:rsidP="009202E9">
            <w:pPr>
              <w:pStyle w:val="ListParagraph"/>
              <w:numPr>
                <w:ilvl w:val="0"/>
                <w:numId w:val="6"/>
              </w:numPr>
              <w:rPr>
                <w:rFonts w:ascii="Arial" w:hAnsi="Arial" w:cs="Arial"/>
                <w:bCs/>
              </w:rPr>
            </w:pPr>
            <w:r w:rsidRPr="00D42E64">
              <w:rPr>
                <w:rFonts w:ascii="Arial" w:hAnsi="Arial" w:cs="Arial"/>
                <w:bCs/>
              </w:rPr>
              <w:t>NPRR1211, Move OBD to Section 22 – Methodology for Setting Maximum Shadow Prices for Network and Power Balance Constraints</w:t>
            </w:r>
            <w:r w:rsidR="00424C42" w:rsidRPr="00D42E64">
              <w:rPr>
                <w:rFonts w:ascii="Arial" w:hAnsi="Arial" w:cs="Arial"/>
                <w:bCs/>
              </w:rPr>
              <w:t>;</w:t>
            </w:r>
            <w:r w:rsidRPr="00D42E64">
              <w:rPr>
                <w:rFonts w:ascii="Arial" w:hAnsi="Arial" w:cs="Arial"/>
                <w:bCs/>
              </w:rPr>
              <w:t xml:space="preserve"> </w:t>
            </w:r>
          </w:p>
          <w:p w14:paraId="6A20CBB0" w14:textId="765BDA58" w:rsidR="009202E9" w:rsidRPr="00D42E64" w:rsidRDefault="009202E9" w:rsidP="009202E9">
            <w:pPr>
              <w:pStyle w:val="ListParagraph"/>
              <w:numPr>
                <w:ilvl w:val="0"/>
                <w:numId w:val="6"/>
              </w:numPr>
              <w:rPr>
                <w:rFonts w:ascii="Arial" w:hAnsi="Arial" w:cs="Arial"/>
                <w:bCs/>
              </w:rPr>
            </w:pPr>
            <w:r w:rsidRPr="00D42E64">
              <w:rPr>
                <w:rFonts w:ascii="Arial" w:hAnsi="Arial" w:cs="Arial"/>
              </w:rPr>
              <w:t>NPRR1213, Allow DGRs and DESRs on Circuits Subject to Load Shed to Provide ECRS and Clarify Language Regarding DGRs and DESRs Providing Non-Spin</w:t>
            </w:r>
            <w:r w:rsidR="00424C42" w:rsidRPr="00D42E64">
              <w:rPr>
                <w:rFonts w:ascii="Arial" w:hAnsi="Arial" w:cs="Arial"/>
              </w:rPr>
              <w:t>;</w:t>
            </w:r>
          </w:p>
          <w:p w14:paraId="293444F9" w14:textId="3CD4477F" w:rsidR="009202E9" w:rsidRPr="00D42E64" w:rsidRDefault="009202E9" w:rsidP="009202E9">
            <w:pPr>
              <w:pStyle w:val="ListParagraph"/>
              <w:numPr>
                <w:ilvl w:val="0"/>
                <w:numId w:val="6"/>
              </w:numPr>
              <w:rPr>
                <w:rFonts w:ascii="Arial" w:hAnsi="Arial" w:cs="Arial"/>
                <w:bCs/>
              </w:rPr>
            </w:pPr>
            <w:r w:rsidRPr="00D42E64">
              <w:rPr>
                <w:rFonts w:ascii="Arial" w:hAnsi="Arial" w:cs="Arial"/>
                <w:bCs/>
              </w:rPr>
              <w:t>LPGRR074,</w:t>
            </w:r>
            <w:r w:rsidR="00C31F68" w:rsidRPr="00D42E64">
              <w:rPr>
                <w:rFonts w:ascii="Arial" w:hAnsi="Arial" w:cs="Arial"/>
                <w:bCs/>
              </w:rPr>
              <w:t xml:space="preserve"> </w:t>
            </w:r>
            <w:r w:rsidR="00C31F68" w:rsidRPr="00D42E64">
              <w:rPr>
                <w:rFonts w:ascii="Arial" w:hAnsi="Arial" w:cs="Arial"/>
                <w:bCs/>
              </w:rPr>
              <w:tab/>
              <w:t>Align Definitions of IDRRQ, LRG, and LRGDG</w:t>
            </w:r>
            <w:r w:rsidR="00424C42" w:rsidRPr="00D42E64">
              <w:rPr>
                <w:rFonts w:ascii="Arial" w:hAnsi="Arial" w:cs="Arial"/>
                <w:bCs/>
              </w:rPr>
              <w:t>;</w:t>
            </w:r>
          </w:p>
          <w:p w14:paraId="7CF38F35" w14:textId="36C7B1C6" w:rsidR="008E54C3" w:rsidRPr="00D42E64" w:rsidRDefault="008E54C3" w:rsidP="008E54C3">
            <w:pPr>
              <w:pStyle w:val="ListParagraph"/>
              <w:numPr>
                <w:ilvl w:val="0"/>
                <w:numId w:val="6"/>
              </w:numPr>
              <w:rPr>
                <w:rFonts w:ascii="Arial" w:hAnsi="Arial" w:cs="Arial"/>
                <w:bCs/>
              </w:rPr>
            </w:pPr>
            <w:r w:rsidRPr="00D42E64">
              <w:rPr>
                <w:rFonts w:ascii="Arial" w:hAnsi="Arial" w:cs="Arial"/>
                <w:bCs/>
              </w:rPr>
              <w:t>NOGRR261,</w:t>
            </w:r>
            <w:r w:rsidR="00C31F68" w:rsidRPr="00D42E64">
              <w:rPr>
                <w:rFonts w:ascii="Arial" w:hAnsi="Arial" w:cs="Arial"/>
                <w:bCs/>
              </w:rPr>
              <w:t xml:space="preserve"> Move OBD to Section 8 – Procedure for Calculating RRS Limits for Individual Resources</w:t>
            </w:r>
            <w:r w:rsidR="00424C42" w:rsidRPr="00D42E64">
              <w:rPr>
                <w:rFonts w:ascii="Arial" w:hAnsi="Arial" w:cs="Arial"/>
                <w:bCs/>
              </w:rPr>
              <w:t>;</w:t>
            </w:r>
          </w:p>
          <w:p w14:paraId="5628E5DE" w14:textId="4570682A" w:rsidR="009202E9" w:rsidRPr="00D42E64" w:rsidRDefault="009202E9" w:rsidP="009202E9">
            <w:pPr>
              <w:pStyle w:val="ListParagraph"/>
              <w:numPr>
                <w:ilvl w:val="0"/>
                <w:numId w:val="6"/>
              </w:numPr>
              <w:rPr>
                <w:rFonts w:ascii="Arial" w:hAnsi="Arial" w:cs="Arial"/>
                <w:bCs/>
              </w:rPr>
            </w:pPr>
            <w:r w:rsidRPr="00D42E64">
              <w:rPr>
                <w:rFonts w:ascii="Arial" w:hAnsi="Arial" w:cs="Arial"/>
                <w:bCs/>
              </w:rPr>
              <w:t xml:space="preserve">PGRR109, </w:t>
            </w:r>
            <w:r w:rsidR="00C31F68" w:rsidRPr="00D42E64">
              <w:rPr>
                <w:rFonts w:ascii="Arial" w:hAnsi="Arial" w:cs="Arial"/>
                <w:bCs/>
              </w:rPr>
              <w:t>Dynamic Model Review Process Improvement for Inverter-Based Resource (IBR) Modification</w:t>
            </w:r>
            <w:r w:rsidR="00424C42" w:rsidRPr="00D42E64">
              <w:rPr>
                <w:rFonts w:ascii="Arial" w:hAnsi="Arial" w:cs="Arial"/>
                <w:bCs/>
              </w:rPr>
              <w:t>;</w:t>
            </w:r>
          </w:p>
          <w:p w14:paraId="295EA27E" w14:textId="1EB77971" w:rsidR="009202E9" w:rsidRPr="00D42E64" w:rsidRDefault="009202E9" w:rsidP="009202E9">
            <w:pPr>
              <w:pStyle w:val="ListParagraph"/>
              <w:numPr>
                <w:ilvl w:val="0"/>
                <w:numId w:val="6"/>
              </w:numPr>
              <w:rPr>
                <w:rFonts w:ascii="Arial" w:hAnsi="Arial" w:cs="Arial"/>
                <w:bCs/>
              </w:rPr>
            </w:pPr>
            <w:r w:rsidRPr="00D42E64">
              <w:rPr>
                <w:rFonts w:ascii="Arial" w:hAnsi="Arial" w:cs="Arial"/>
                <w:bCs/>
              </w:rPr>
              <w:t>RMGRR179,</w:t>
            </w:r>
            <w:r w:rsidR="00C31F68" w:rsidRPr="00D42E64">
              <w:t xml:space="preserve"> </w:t>
            </w:r>
            <w:r w:rsidR="00C31F68" w:rsidRPr="00D42E64">
              <w:rPr>
                <w:rFonts w:ascii="Arial" w:hAnsi="Arial" w:cs="Arial"/>
                <w:bCs/>
              </w:rPr>
              <w:t>TDSP Temporary Emergency Electric Energy Facility (TEEEF) Deployment Transactional Processing</w:t>
            </w:r>
            <w:r w:rsidR="00807A4F" w:rsidRPr="00D42E64">
              <w:rPr>
                <w:rFonts w:ascii="Arial" w:hAnsi="Arial" w:cs="Arial"/>
                <w:bCs/>
              </w:rPr>
              <w:t xml:space="preserve"> – URGENT</w:t>
            </w:r>
            <w:r w:rsidR="00424C42" w:rsidRPr="00D42E64">
              <w:rPr>
                <w:rFonts w:ascii="Arial" w:hAnsi="Arial" w:cs="Arial"/>
                <w:bCs/>
              </w:rPr>
              <w:t>;</w:t>
            </w:r>
          </w:p>
          <w:p w14:paraId="297A9CC8" w14:textId="6466F46A" w:rsidR="008E54C3" w:rsidRPr="00D42E64" w:rsidRDefault="008E54C3" w:rsidP="008E54C3">
            <w:pPr>
              <w:pStyle w:val="ListParagraph"/>
              <w:numPr>
                <w:ilvl w:val="0"/>
                <w:numId w:val="6"/>
              </w:numPr>
              <w:rPr>
                <w:rFonts w:ascii="Arial" w:hAnsi="Arial" w:cs="Arial"/>
                <w:bCs/>
              </w:rPr>
            </w:pPr>
            <w:r w:rsidRPr="00D42E64">
              <w:rPr>
                <w:rFonts w:ascii="Arial" w:hAnsi="Arial" w:cs="Arial"/>
                <w:bCs/>
              </w:rPr>
              <w:t>SCR825, ERCOT Voice Communications Aggregation</w:t>
            </w:r>
            <w:r w:rsidR="00424C42" w:rsidRPr="00D42E64">
              <w:rPr>
                <w:rFonts w:ascii="Arial" w:hAnsi="Arial" w:cs="Arial"/>
                <w:bCs/>
              </w:rPr>
              <w:t>;</w:t>
            </w:r>
            <w:r w:rsidRPr="00D42E64">
              <w:rPr>
                <w:rFonts w:ascii="Arial" w:hAnsi="Arial" w:cs="Arial"/>
                <w:bCs/>
              </w:rPr>
              <w:t xml:space="preserve"> </w:t>
            </w:r>
          </w:p>
          <w:p w14:paraId="5D7EB75F" w14:textId="4783592C" w:rsidR="008E54C3" w:rsidRPr="00D42E64" w:rsidRDefault="008E54C3" w:rsidP="008E54C3">
            <w:pPr>
              <w:pStyle w:val="ListParagraph"/>
              <w:numPr>
                <w:ilvl w:val="0"/>
                <w:numId w:val="6"/>
              </w:numPr>
              <w:rPr>
                <w:rFonts w:ascii="Arial" w:hAnsi="Arial" w:cs="Arial"/>
                <w:bCs/>
              </w:rPr>
            </w:pPr>
            <w:r w:rsidRPr="00D42E64">
              <w:rPr>
                <w:rFonts w:ascii="Arial" w:hAnsi="Arial" w:cs="Arial"/>
                <w:bCs/>
              </w:rPr>
              <w:lastRenderedPageBreak/>
              <w:t>SMOGRR027,</w:t>
            </w:r>
            <w:r w:rsidR="00C31F68" w:rsidRPr="00D42E64">
              <w:rPr>
                <w:rFonts w:ascii="Arial" w:hAnsi="Arial" w:cs="Arial"/>
                <w:bCs/>
              </w:rPr>
              <w:t xml:space="preserve"> Move OBD to Settlement Metering Operating Guide – EPS Metering Design Proposal</w:t>
            </w:r>
            <w:r w:rsidR="00424C42" w:rsidRPr="00D42E64">
              <w:rPr>
                <w:rFonts w:ascii="Arial" w:hAnsi="Arial" w:cs="Arial"/>
                <w:bCs/>
              </w:rPr>
              <w:t>; and</w:t>
            </w:r>
          </w:p>
          <w:p w14:paraId="0C3A0912" w14:textId="1500CBC6" w:rsidR="008E54C3" w:rsidRPr="008E54C3" w:rsidRDefault="008E54C3" w:rsidP="008E54C3">
            <w:pPr>
              <w:pStyle w:val="ListParagraph"/>
              <w:numPr>
                <w:ilvl w:val="0"/>
                <w:numId w:val="6"/>
              </w:numPr>
              <w:rPr>
                <w:rFonts w:ascii="Arial" w:hAnsi="Arial" w:cs="Arial"/>
                <w:bCs/>
              </w:rPr>
            </w:pPr>
            <w:r w:rsidRPr="00D42E64">
              <w:rPr>
                <w:rFonts w:ascii="Arial" w:hAnsi="Arial" w:cs="Arial"/>
                <w:bCs/>
              </w:rPr>
              <w:t xml:space="preserve">SMOGRR030, </w:t>
            </w:r>
            <w:r w:rsidR="00C31F68" w:rsidRPr="00D42E64">
              <w:rPr>
                <w:rFonts w:ascii="Arial" w:hAnsi="Arial" w:cs="Arial"/>
                <w:bCs/>
              </w:rPr>
              <w:t>Move OBD</w:t>
            </w:r>
            <w:r w:rsidR="00C31F68" w:rsidRPr="00C31F68">
              <w:rPr>
                <w:rFonts w:ascii="Arial" w:hAnsi="Arial" w:cs="Arial"/>
                <w:bCs/>
              </w:rPr>
              <w:t xml:space="preserve"> to Settlement Metering Operating Guide – EPS Metering Facility Temporary Exemption Request Application Form</w:t>
            </w:r>
            <w:r w:rsidR="00424C42">
              <w:rPr>
                <w:rFonts w:ascii="Arial" w:hAnsi="Arial" w:cs="Arial"/>
                <w:bCs/>
              </w:rPr>
              <w:t>.</w:t>
            </w:r>
          </w:p>
          <w:bookmarkEnd w:id="2"/>
          <w:p w14:paraId="4E760282" w14:textId="131ACCCE" w:rsidR="009202E9" w:rsidRPr="006127B2" w:rsidRDefault="009202E9" w:rsidP="009202E9">
            <w:pPr>
              <w:pStyle w:val="ListParagraph"/>
              <w:rPr>
                <w:rFonts w:ascii="Arial" w:hAnsi="Arial" w:cs="Arial"/>
                <w:bCs/>
              </w:rPr>
            </w:pPr>
          </w:p>
        </w:tc>
      </w:tr>
      <w:bookmarkEnd w:id="0"/>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5E3961" w:rsidRDefault="007D620B" w:rsidP="00CE135F">
            <w:pPr>
              <w:pStyle w:val="Heading5"/>
              <w:keepNext w:val="0"/>
              <w:jc w:val="both"/>
              <w:rPr>
                <w:rFonts w:ascii="Arial" w:hAnsi="Arial" w:cs="Arial"/>
                <w:b/>
                <w:bCs/>
              </w:rPr>
            </w:pPr>
            <w:r w:rsidRPr="005E3961">
              <w:rPr>
                <w:rFonts w:ascii="Arial" w:hAnsi="Arial" w:cs="Arial"/>
                <w:b/>
                <w:bCs/>
              </w:rPr>
              <w:lastRenderedPageBreak/>
              <w:t>Background/History:</w:t>
            </w:r>
          </w:p>
          <w:p w14:paraId="478AEBC4" w14:textId="3E638A2B" w:rsidR="005E3961" w:rsidRPr="001F5F1E" w:rsidRDefault="00167741" w:rsidP="00CE135F">
            <w:pPr>
              <w:jc w:val="both"/>
              <w:rPr>
                <w:rFonts w:ascii="Arial" w:hAnsi="Arial" w:cs="Arial"/>
                <w:b/>
                <w:bCs/>
              </w:rPr>
            </w:pPr>
            <w:r w:rsidRPr="005E3961">
              <w:rPr>
                <w:rFonts w:ascii="Arial" w:hAnsi="Arial" w:cs="Arial"/>
                <w:b/>
                <w:bCs/>
              </w:rPr>
              <w:t>Unless otherwise noted: (</w:t>
            </w:r>
            <w:proofErr w:type="spellStart"/>
            <w:r w:rsidRPr="005E3961">
              <w:rPr>
                <w:rFonts w:ascii="Arial" w:hAnsi="Arial" w:cs="Arial"/>
                <w:b/>
                <w:bCs/>
              </w:rPr>
              <w:t>i</w:t>
            </w:r>
            <w:proofErr w:type="spellEnd"/>
            <w:r w:rsidRPr="005E3961">
              <w:rPr>
                <w:rFonts w:ascii="Arial" w:hAnsi="Arial" w:cs="Arial"/>
                <w:b/>
                <w:bCs/>
              </w:rPr>
              <w:t>) all Market Segment</w:t>
            </w:r>
            <w:r w:rsidR="00840278" w:rsidRPr="005E3961">
              <w:rPr>
                <w:rFonts w:ascii="Arial" w:hAnsi="Arial" w:cs="Arial"/>
                <w:b/>
                <w:bCs/>
              </w:rPr>
              <w:t xml:space="preserve">s </w:t>
            </w:r>
            <w:r w:rsidR="007F1A85" w:rsidRPr="005E3961">
              <w:rPr>
                <w:rFonts w:ascii="Arial" w:hAnsi="Arial" w:cs="Arial"/>
                <w:b/>
                <w:bCs/>
              </w:rPr>
              <w:t>participated</w:t>
            </w:r>
            <w:r w:rsidR="00177EE8" w:rsidRPr="005E3961">
              <w:rPr>
                <w:rFonts w:ascii="Arial" w:hAnsi="Arial" w:cs="Arial"/>
                <w:b/>
                <w:bCs/>
              </w:rPr>
              <w:t xml:space="preserve"> in</w:t>
            </w:r>
            <w:r w:rsidR="00840278" w:rsidRPr="005E3961">
              <w:rPr>
                <w:rFonts w:ascii="Arial" w:hAnsi="Arial" w:cs="Arial"/>
                <w:b/>
                <w:bCs/>
              </w:rPr>
              <w:t xml:space="preserve"> each vote;</w:t>
            </w:r>
            <w:r w:rsidRPr="005E3961">
              <w:rPr>
                <w:rFonts w:ascii="Arial" w:hAnsi="Arial" w:cs="Arial"/>
                <w:b/>
                <w:bCs/>
              </w:rPr>
              <w:t xml:space="preserve"> (ii) </w:t>
            </w:r>
            <w:r w:rsidR="00ED1822" w:rsidRPr="005E3961">
              <w:rPr>
                <w:rFonts w:ascii="Arial" w:hAnsi="Arial" w:cs="Arial"/>
                <w:b/>
                <w:bCs/>
              </w:rPr>
              <w:t xml:space="preserve">For NPRRs, </w:t>
            </w:r>
            <w:r w:rsidRPr="005E3961">
              <w:rPr>
                <w:rFonts w:ascii="Arial" w:hAnsi="Arial" w:cs="Arial"/>
                <w:b/>
                <w:bCs/>
              </w:rPr>
              <w:t>ERCOT Credit Staf</w:t>
            </w:r>
            <w:r w:rsidR="00D33285">
              <w:rPr>
                <w:rFonts w:ascii="Arial" w:hAnsi="Arial" w:cs="Arial"/>
                <w:b/>
                <w:bCs/>
              </w:rPr>
              <w:t xml:space="preserve">f and </w:t>
            </w:r>
            <w:r w:rsidRPr="005E3961">
              <w:rPr>
                <w:rFonts w:ascii="Arial" w:hAnsi="Arial" w:cs="Arial"/>
                <w:b/>
                <w:bCs/>
              </w:rPr>
              <w:t xml:space="preserve">the </w:t>
            </w:r>
            <w:r w:rsidR="006873EB">
              <w:rPr>
                <w:rFonts w:ascii="Arial" w:hAnsi="Arial" w:cs="Arial"/>
                <w:b/>
                <w:bCs/>
              </w:rPr>
              <w:t xml:space="preserve">Credit Finance </w:t>
            </w:r>
            <w:proofErr w:type="gramStart"/>
            <w:r w:rsidR="006873EB">
              <w:rPr>
                <w:rFonts w:ascii="Arial" w:hAnsi="Arial" w:cs="Arial"/>
                <w:b/>
                <w:bCs/>
              </w:rPr>
              <w:t>Sub Group</w:t>
            </w:r>
            <w:proofErr w:type="gramEnd"/>
            <w:r w:rsidR="006873EB">
              <w:rPr>
                <w:rFonts w:ascii="Arial" w:hAnsi="Arial" w:cs="Arial"/>
                <w:b/>
                <w:bCs/>
              </w:rPr>
              <w:t xml:space="preserve"> (CFSG) </w:t>
            </w:r>
            <w:r w:rsidRPr="005E3961">
              <w:rPr>
                <w:rFonts w:ascii="Arial" w:hAnsi="Arial" w:cs="Arial"/>
                <w:b/>
                <w:bCs/>
              </w:rPr>
              <w:t xml:space="preserve">have reviewed the </w:t>
            </w:r>
            <w:r w:rsidR="00ED1822" w:rsidRPr="005E3961">
              <w:rPr>
                <w:rFonts w:ascii="Arial" w:hAnsi="Arial" w:cs="Arial"/>
                <w:b/>
                <w:bCs/>
              </w:rPr>
              <w:t>NPRR</w:t>
            </w:r>
            <w:r w:rsidRPr="005E3961">
              <w:rPr>
                <w:rFonts w:ascii="Arial" w:hAnsi="Arial" w:cs="Arial"/>
                <w:b/>
                <w:bCs/>
              </w:rPr>
              <w:t xml:space="preserve"> and do not believe it requires changes to credit monitoring activity or the calculation of l</w:t>
            </w:r>
            <w:r w:rsidR="00CD0283" w:rsidRPr="005E3961">
              <w:rPr>
                <w:rFonts w:ascii="Arial" w:hAnsi="Arial" w:cs="Arial"/>
                <w:b/>
                <w:bCs/>
              </w:rPr>
              <w:t>iability</w:t>
            </w:r>
            <w:r w:rsidR="00840278" w:rsidRPr="005E3961">
              <w:rPr>
                <w:rFonts w:ascii="Arial" w:hAnsi="Arial" w:cs="Arial"/>
                <w:b/>
                <w:bCs/>
              </w:rPr>
              <w:t xml:space="preserve">; </w:t>
            </w:r>
            <w:r w:rsidR="00CD0283" w:rsidRPr="005E3961">
              <w:rPr>
                <w:rFonts w:ascii="Arial" w:hAnsi="Arial" w:cs="Arial"/>
                <w:b/>
                <w:bCs/>
              </w:rPr>
              <w:t xml:space="preserve">(iii) ERCOT supports the </w:t>
            </w:r>
            <w:r w:rsidR="006873EB">
              <w:rPr>
                <w:rFonts w:ascii="Arial" w:hAnsi="Arial" w:cs="Arial"/>
                <w:b/>
                <w:bCs/>
              </w:rPr>
              <w:t>R</w:t>
            </w:r>
            <w:r w:rsidR="00CD0283" w:rsidRPr="005E3961">
              <w:rPr>
                <w:rFonts w:ascii="Arial" w:hAnsi="Arial" w:cs="Arial"/>
                <w:b/>
                <w:bCs/>
              </w:rPr>
              <w:t xml:space="preserve">evision </w:t>
            </w:r>
            <w:r w:rsidR="006873EB">
              <w:rPr>
                <w:rFonts w:ascii="Arial" w:hAnsi="Arial" w:cs="Arial"/>
                <w:b/>
                <w:bCs/>
              </w:rPr>
              <w:t>R</w:t>
            </w:r>
            <w:r w:rsidR="00CD0283" w:rsidRPr="005E3961">
              <w:rPr>
                <w:rFonts w:ascii="Arial" w:hAnsi="Arial" w:cs="Arial"/>
                <w:b/>
                <w:bCs/>
              </w:rPr>
              <w:t>equest</w:t>
            </w:r>
            <w:r w:rsidR="009922C0">
              <w:rPr>
                <w:rFonts w:ascii="Arial" w:hAnsi="Arial" w:cs="Arial"/>
                <w:b/>
                <w:bCs/>
              </w:rPr>
              <w:t>; and (iv) the Independent Market Monitor</w:t>
            </w:r>
            <w:r w:rsidR="00D33285">
              <w:rPr>
                <w:rFonts w:ascii="Arial" w:hAnsi="Arial" w:cs="Arial"/>
                <w:b/>
                <w:bCs/>
              </w:rPr>
              <w:t xml:space="preserve"> (IMM)</w:t>
            </w:r>
            <w:r w:rsidR="009922C0">
              <w:rPr>
                <w:rFonts w:ascii="Arial" w:hAnsi="Arial" w:cs="Arial"/>
                <w:b/>
                <w:bCs/>
              </w:rPr>
              <w:t xml:space="preserve"> has no opinion on the </w:t>
            </w:r>
            <w:r w:rsidR="006873EB">
              <w:rPr>
                <w:rFonts w:ascii="Arial" w:hAnsi="Arial" w:cs="Arial"/>
                <w:b/>
                <w:bCs/>
              </w:rPr>
              <w:t>R</w:t>
            </w:r>
            <w:r w:rsidR="009922C0">
              <w:rPr>
                <w:rFonts w:ascii="Arial" w:hAnsi="Arial" w:cs="Arial"/>
                <w:b/>
                <w:bCs/>
              </w:rPr>
              <w:t xml:space="preserve">evision </w:t>
            </w:r>
            <w:r w:rsidR="006873EB">
              <w:rPr>
                <w:rFonts w:ascii="Arial" w:hAnsi="Arial" w:cs="Arial"/>
                <w:b/>
                <w:bCs/>
              </w:rPr>
              <w:t>R</w:t>
            </w:r>
            <w:r w:rsidR="009922C0">
              <w:rPr>
                <w:rFonts w:ascii="Arial" w:hAnsi="Arial" w:cs="Arial"/>
                <w:b/>
                <w:bCs/>
              </w:rPr>
              <w:t>equest.</w:t>
            </w:r>
          </w:p>
          <w:p w14:paraId="3FFEAA55" w14:textId="77777777" w:rsidR="009236A0" w:rsidRDefault="009236A0" w:rsidP="00CE135F">
            <w:pPr>
              <w:jc w:val="both"/>
              <w:rPr>
                <w:rFonts w:ascii="Arial" w:hAnsi="Arial" w:cs="Arial"/>
                <w:b/>
              </w:rPr>
            </w:pPr>
          </w:p>
          <w:p w14:paraId="208FB7A6" w14:textId="15AAD15C" w:rsidR="007659A3" w:rsidRDefault="007659A3" w:rsidP="009D5805">
            <w:pPr>
              <w:numPr>
                <w:ilvl w:val="0"/>
                <w:numId w:val="23"/>
              </w:numPr>
              <w:jc w:val="both"/>
              <w:rPr>
                <w:rFonts w:ascii="Arial" w:hAnsi="Arial" w:cs="Arial"/>
                <w:b/>
                <w:i/>
              </w:rPr>
            </w:pPr>
            <w:r w:rsidRPr="002A5B66">
              <w:rPr>
                <w:rFonts w:ascii="Arial" w:hAnsi="Arial" w:cs="Arial"/>
                <w:b/>
                <w:i/>
              </w:rPr>
              <w:t xml:space="preserve">NPRR1170, </w:t>
            </w:r>
            <w:r w:rsidR="00E56C58" w:rsidRPr="00E56C58">
              <w:rPr>
                <w:rFonts w:ascii="Arial" w:hAnsi="Arial" w:cs="Arial"/>
                <w:b/>
                <w:i/>
              </w:rPr>
              <w:t>Submission of Gas Supply Disruption</w:t>
            </w:r>
          </w:p>
          <w:p w14:paraId="44851DD7" w14:textId="77777777" w:rsidR="007659A3" w:rsidRPr="005539E3" w:rsidRDefault="007659A3" w:rsidP="009D5805">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41D6A655" w14:textId="77777777" w:rsidR="007659A3" w:rsidRPr="005539E3" w:rsidRDefault="007659A3" w:rsidP="00CE135F">
            <w:pPr>
              <w:pStyle w:val="BodyText"/>
              <w:spacing w:before="0" w:after="0"/>
              <w:ind w:left="360"/>
              <w:jc w:val="both"/>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 xml:space="preserve">The first of the month following Public Utility Commission of Texas (PUCT) </w:t>
            </w:r>
            <w:proofErr w:type="gramStart"/>
            <w:r>
              <w:rPr>
                <w:rFonts w:ascii="Arial" w:hAnsi="Arial" w:cs="Arial"/>
              </w:rPr>
              <w:t>approval</w:t>
            </w:r>
            <w:proofErr w:type="gramEnd"/>
          </w:p>
          <w:p w14:paraId="62B7F3ED" w14:textId="680247C4" w:rsidR="007659A3" w:rsidRPr="005539E3" w:rsidRDefault="008E54C3" w:rsidP="00CE135F">
            <w:pPr>
              <w:pStyle w:val="BodyText"/>
              <w:spacing w:before="0" w:after="0"/>
              <w:ind w:left="360"/>
              <w:jc w:val="both"/>
              <w:rPr>
                <w:rFonts w:ascii="Arial" w:hAnsi="Arial" w:cs="Arial"/>
                <w:i/>
              </w:rPr>
            </w:pPr>
            <w:r>
              <w:rPr>
                <w:rFonts w:ascii="Arial" w:hAnsi="Arial" w:cs="Arial"/>
                <w:b/>
              </w:rPr>
              <w:t>Estimated Impacts</w:t>
            </w:r>
            <w:r w:rsidR="007659A3" w:rsidRPr="005539E3">
              <w:rPr>
                <w:rFonts w:ascii="Arial" w:hAnsi="Arial" w:cs="Arial"/>
                <w:b/>
              </w:rPr>
              <w:t xml:space="preserve">:  </w:t>
            </w:r>
            <w:r w:rsidR="007659A3">
              <w:rPr>
                <w:rFonts w:ascii="Arial" w:hAnsi="Arial" w:cs="Arial"/>
              </w:rPr>
              <w:t>Less than $5K (O&amp;M)</w:t>
            </w:r>
          </w:p>
          <w:p w14:paraId="4615BE43" w14:textId="77777777" w:rsidR="007659A3" w:rsidRPr="005539E3" w:rsidRDefault="007659A3" w:rsidP="009D5805">
            <w:pPr>
              <w:ind w:left="360"/>
              <w:jc w:val="both"/>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2A5B66">
              <w:rPr>
                <w:rFonts w:ascii="Arial" w:hAnsi="Arial" w:cs="Arial"/>
              </w:rPr>
              <w:t>defines the instances in which a Qualified Scheduling Entity (QSE) that represents a Generation Resource that relies on natural gas as the primary fuel source should notify ERCOT about disruptions to the Resource’s gas supply.</w:t>
            </w:r>
          </w:p>
          <w:p w14:paraId="59560BB7" w14:textId="43B1A361" w:rsidR="007659A3" w:rsidRDefault="007659A3" w:rsidP="00CE135F">
            <w:pPr>
              <w:ind w:left="360"/>
              <w:jc w:val="both"/>
              <w:rPr>
                <w:rFonts w:ascii="Arial" w:hAnsi="Arial" w:cs="Arial"/>
                <w:bCs/>
                <w:iCs/>
              </w:rPr>
            </w:pPr>
            <w:r>
              <w:rPr>
                <w:rFonts w:ascii="Arial" w:hAnsi="Arial" w:cs="Arial"/>
                <w:b/>
                <w:iCs/>
              </w:rPr>
              <w:t xml:space="preserve">TAC Decision:  </w:t>
            </w:r>
            <w:r w:rsidR="008E54C3" w:rsidRPr="008E54C3">
              <w:rPr>
                <w:rFonts w:ascii="Arial" w:hAnsi="Arial" w:cs="Arial"/>
                <w:bCs/>
                <w:iCs/>
              </w:rPr>
              <w:t>On 1/24/24, TAC voted unanimously to recommend approval of NPRR1170 as recommended by PRS in the 1/11/24 PRS Report.</w:t>
            </w:r>
            <w:r w:rsidR="008E54C3" w:rsidRPr="008E54C3">
              <w:rPr>
                <w:rFonts w:ascii="Arial" w:hAnsi="Arial" w:cs="Arial"/>
                <w:b/>
                <w:iCs/>
              </w:rPr>
              <w:t xml:space="preserve">  </w:t>
            </w:r>
          </w:p>
          <w:p w14:paraId="550C567A" w14:textId="6EEA1B33" w:rsidR="007659A3" w:rsidRDefault="007659A3" w:rsidP="00CE135F">
            <w:pPr>
              <w:ind w:left="360"/>
              <w:jc w:val="both"/>
              <w:rPr>
                <w:rFonts w:ascii="Arial" w:hAnsi="Arial" w:cs="Arial"/>
                <w:bCs/>
                <w:iCs/>
              </w:rPr>
            </w:pPr>
            <w:r w:rsidRPr="001F1D16">
              <w:rPr>
                <w:rFonts w:ascii="Arial" w:hAnsi="Arial" w:cs="Arial"/>
                <w:b/>
                <w:iCs/>
              </w:rPr>
              <w:t xml:space="preserve">ERCOT Market Impact Statement:  </w:t>
            </w:r>
            <w:r w:rsidR="008E54C3" w:rsidRPr="008E54C3">
              <w:rPr>
                <w:rFonts w:ascii="Arial" w:hAnsi="Arial" w:cs="Arial"/>
                <w:bCs/>
                <w:iCs/>
              </w:rPr>
              <w:t>ERCOT Staff has reviewed NPRR1170 and believes the market impact for NPRR1170 is improved situational awareness regarding potential fuel supply disruptions, and supports overall reliability operations.</w:t>
            </w:r>
          </w:p>
          <w:p w14:paraId="555E6ED8" w14:textId="73DCAD79" w:rsidR="007659A3" w:rsidRPr="00F02C5B" w:rsidRDefault="007659A3" w:rsidP="00CE135F">
            <w:pPr>
              <w:ind w:left="360"/>
              <w:jc w:val="both"/>
              <w:rPr>
                <w:rFonts w:ascii="Arial" w:hAnsi="Arial" w:cs="Arial"/>
                <w:bCs/>
                <w:iCs/>
              </w:rPr>
            </w:pPr>
            <w:r>
              <w:rPr>
                <w:rFonts w:ascii="Arial" w:hAnsi="Arial" w:cs="Arial"/>
                <w:b/>
                <w:iCs/>
              </w:rPr>
              <w:t xml:space="preserve">IMM Opinion:  </w:t>
            </w:r>
            <w:r>
              <w:rPr>
                <w:rFonts w:ascii="Arial" w:hAnsi="Arial" w:cs="Arial"/>
                <w:bCs/>
                <w:iCs/>
              </w:rPr>
              <w:t>The IMM supports NPRR11</w:t>
            </w:r>
            <w:r w:rsidR="008E54C3">
              <w:rPr>
                <w:rFonts w:ascii="Arial" w:hAnsi="Arial" w:cs="Arial"/>
                <w:bCs/>
                <w:iCs/>
              </w:rPr>
              <w:t>70</w:t>
            </w:r>
            <w:r>
              <w:rPr>
                <w:rFonts w:ascii="Arial" w:hAnsi="Arial" w:cs="Arial"/>
                <w:bCs/>
                <w:iCs/>
              </w:rPr>
              <w:t>.</w:t>
            </w:r>
          </w:p>
          <w:p w14:paraId="706AF531" w14:textId="77777777" w:rsidR="007659A3" w:rsidRDefault="007659A3" w:rsidP="009D5805">
            <w:pPr>
              <w:ind w:left="360"/>
              <w:jc w:val="both"/>
              <w:rPr>
                <w:rFonts w:ascii="Arial" w:hAnsi="Arial" w:cs="Arial"/>
                <w:b/>
                <w:i/>
              </w:rPr>
            </w:pPr>
          </w:p>
          <w:p w14:paraId="2C0212A1" w14:textId="77777777" w:rsidR="007659A3" w:rsidRDefault="007659A3" w:rsidP="009D5805">
            <w:pPr>
              <w:numPr>
                <w:ilvl w:val="0"/>
                <w:numId w:val="23"/>
              </w:numPr>
              <w:jc w:val="both"/>
              <w:rPr>
                <w:rFonts w:ascii="Arial" w:hAnsi="Arial" w:cs="Arial"/>
                <w:b/>
                <w:i/>
              </w:rPr>
            </w:pPr>
            <w:r w:rsidRPr="002A5B66">
              <w:rPr>
                <w:rFonts w:ascii="Arial" w:hAnsi="Arial" w:cs="Arial"/>
                <w:b/>
                <w:i/>
              </w:rPr>
              <w:t>NPRR11</w:t>
            </w:r>
            <w:r>
              <w:rPr>
                <w:rFonts w:ascii="Arial" w:hAnsi="Arial" w:cs="Arial"/>
                <w:b/>
                <w:i/>
              </w:rPr>
              <w:t>79</w:t>
            </w:r>
            <w:r w:rsidRPr="002A5B66">
              <w:rPr>
                <w:rFonts w:ascii="Arial" w:hAnsi="Arial" w:cs="Arial"/>
                <w:b/>
                <w:i/>
              </w:rPr>
              <w:t xml:space="preserve">, </w:t>
            </w:r>
            <w:r w:rsidRPr="0030395E">
              <w:rPr>
                <w:rFonts w:ascii="Arial" w:hAnsi="Arial" w:cs="Arial"/>
                <w:b/>
                <w:i/>
              </w:rPr>
              <w:t xml:space="preserve">Fuel Purchase Requirements for Resources Submitting RUC Fuel Costs </w:t>
            </w:r>
            <w:r>
              <w:rPr>
                <w:rFonts w:ascii="Arial" w:hAnsi="Arial" w:cs="Arial"/>
                <w:b/>
                <w:i/>
              </w:rPr>
              <w:t>– URGENT</w:t>
            </w:r>
          </w:p>
          <w:p w14:paraId="66917005" w14:textId="77777777" w:rsidR="007659A3" w:rsidRPr="005539E3" w:rsidRDefault="007659A3" w:rsidP="009D5805">
            <w:pPr>
              <w:ind w:left="360"/>
              <w:jc w:val="both"/>
              <w:rPr>
                <w:rFonts w:ascii="Arial" w:hAnsi="Arial" w:cs="Arial"/>
                <w:bCs/>
                <w:iCs/>
              </w:rPr>
            </w:pPr>
            <w:r>
              <w:rPr>
                <w:rFonts w:ascii="Arial" w:hAnsi="Arial" w:cs="Arial"/>
                <w:b/>
                <w:iCs/>
              </w:rPr>
              <w:t>Sponsor:</w:t>
            </w:r>
            <w:r w:rsidRPr="0030395E">
              <w:rPr>
                <w:rFonts w:ascii="Arial" w:hAnsi="Arial" w:cs="Arial"/>
                <w:iCs/>
              </w:rPr>
              <w:t xml:space="preserve">  ERCOT</w:t>
            </w:r>
          </w:p>
          <w:p w14:paraId="74835F3B" w14:textId="77777777" w:rsidR="007659A3" w:rsidRPr="005539E3" w:rsidRDefault="007659A3" w:rsidP="00CE135F">
            <w:pPr>
              <w:pStyle w:val="BodyText"/>
              <w:spacing w:before="0" w:after="0"/>
              <w:ind w:left="360"/>
              <w:jc w:val="both"/>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 xml:space="preserve">The first of the month following PUCT </w:t>
            </w:r>
            <w:proofErr w:type="gramStart"/>
            <w:r>
              <w:rPr>
                <w:rFonts w:ascii="Arial" w:hAnsi="Arial" w:cs="Arial"/>
              </w:rPr>
              <w:t>approval</w:t>
            </w:r>
            <w:proofErr w:type="gramEnd"/>
          </w:p>
          <w:p w14:paraId="6EE95E74" w14:textId="7FA9C8F2" w:rsidR="007659A3" w:rsidRPr="005539E3" w:rsidRDefault="008E54C3" w:rsidP="00CE135F">
            <w:pPr>
              <w:pStyle w:val="BodyText"/>
              <w:spacing w:before="0" w:after="0"/>
              <w:ind w:left="360"/>
              <w:jc w:val="both"/>
              <w:rPr>
                <w:rFonts w:ascii="Arial" w:hAnsi="Arial" w:cs="Arial"/>
                <w:i/>
              </w:rPr>
            </w:pPr>
            <w:r>
              <w:rPr>
                <w:rFonts w:ascii="Arial" w:hAnsi="Arial" w:cs="Arial"/>
                <w:b/>
              </w:rPr>
              <w:t>Estimated Impacts</w:t>
            </w:r>
            <w:r w:rsidRPr="008E54C3">
              <w:rPr>
                <w:rFonts w:ascii="Arial" w:hAnsi="Arial" w:cs="Arial"/>
                <w:bCs/>
              </w:rPr>
              <w:t>:  No Impact</w:t>
            </w:r>
          </w:p>
          <w:p w14:paraId="09D98A72" w14:textId="77777777" w:rsidR="007659A3" w:rsidRPr="005539E3" w:rsidRDefault="007659A3" w:rsidP="009D5805">
            <w:pPr>
              <w:ind w:left="360"/>
              <w:jc w:val="both"/>
              <w:rPr>
                <w:rFonts w:ascii="Arial" w:hAnsi="Arial" w:cs="Arial"/>
              </w:rPr>
            </w:pPr>
            <w:r w:rsidRPr="005539E3">
              <w:rPr>
                <w:rFonts w:ascii="Arial" w:hAnsi="Arial" w:cs="Arial"/>
                <w:b/>
              </w:rPr>
              <w:t xml:space="preserve">Revision Description:  </w:t>
            </w:r>
            <w:r w:rsidRPr="005539E3">
              <w:rPr>
                <w:rFonts w:ascii="Arial" w:hAnsi="Arial" w:cs="Arial"/>
              </w:rPr>
              <w:t>This NPRR</w:t>
            </w:r>
            <w:r>
              <w:t xml:space="preserve"> </w:t>
            </w:r>
            <w:r w:rsidRPr="0030395E">
              <w:rPr>
                <w:rFonts w:ascii="Arial" w:hAnsi="Arial" w:cs="Arial"/>
              </w:rPr>
              <w:t xml:space="preserve">ensures that QSEs representing Generation Resources that have an executed and enforceable transportation contract and file a Settlement dispute to recover their actual fuel costs incurred when instructed to operate due to a </w:t>
            </w:r>
            <w:r>
              <w:rPr>
                <w:rFonts w:ascii="Arial" w:hAnsi="Arial" w:cs="Arial"/>
              </w:rPr>
              <w:t>Reliability Unit Commitment (</w:t>
            </w:r>
            <w:r w:rsidRPr="0030395E">
              <w:rPr>
                <w:rFonts w:ascii="Arial" w:hAnsi="Arial" w:cs="Arial"/>
              </w:rPr>
              <w:t>RUC</w:t>
            </w:r>
            <w:r>
              <w:rPr>
                <w:rFonts w:ascii="Arial" w:hAnsi="Arial" w:cs="Arial"/>
              </w:rPr>
              <w:t>)</w:t>
            </w:r>
            <w:r w:rsidRPr="0030395E">
              <w:rPr>
                <w:rFonts w:ascii="Arial" w:hAnsi="Arial" w:cs="Arial"/>
              </w:rPr>
              <w:t>, procure fuel economically.  This NPRR also clarifies that fuel costs may also include penalties for fuel delivery outside of RUC-Committed Intervals in accordance with the ratable delivery obligations and costs as specified in the enforceable transportation agreement.</w:t>
            </w:r>
          </w:p>
          <w:p w14:paraId="7AE5EAB3" w14:textId="343978AB" w:rsidR="007659A3" w:rsidRDefault="007659A3" w:rsidP="00CE135F">
            <w:pPr>
              <w:ind w:left="360"/>
              <w:jc w:val="both"/>
              <w:rPr>
                <w:rFonts w:ascii="Arial" w:hAnsi="Arial" w:cs="Arial"/>
                <w:bCs/>
                <w:iCs/>
              </w:rPr>
            </w:pPr>
            <w:r>
              <w:rPr>
                <w:rFonts w:ascii="Arial" w:hAnsi="Arial" w:cs="Arial"/>
                <w:b/>
                <w:iCs/>
              </w:rPr>
              <w:t xml:space="preserve">TAC Decision:  </w:t>
            </w:r>
            <w:r w:rsidR="008E54C3">
              <w:rPr>
                <w:rFonts w:ascii="Arial" w:hAnsi="Arial" w:cs="Arial"/>
                <w:b/>
                <w:iCs/>
              </w:rPr>
              <w:t xml:space="preserve"> </w:t>
            </w:r>
            <w:r w:rsidR="008E54C3" w:rsidRPr="008E54C3">
              <w:rPr>
                <w:rFonts w:ascii="Arial" w:hAnsi="Arial" w:cs="Arial"/>
                <w:bCs/>
                <w:iCs/>
              </w:rPr>
              <w:t>On 1/24/24, TAC voted unanimously to recommend approval of NPRR1179 as recommended by PRS in the 12/15/23 PRS Report.</w:t>
            </w:r>
            <w:r w:rsidR="008E54C3" w:rsidRPr="008E54C3">
              <w:rPr>
                <w:rFonts w:ascii="Arial" w:hAnsi="Arial" w:cs="Arial"/>
                <w:b/>
                <w:iCs/>
              </w:rPr>
              <w:t xml:space="preserve">  </w:t>
            </w:r>
          </w:p>
          <w:p w14:paraId="6169C26C" w14:textId="66BC2C73" w:rsidR="007659A3" w:rsidRDefault="007659A3" w:rsidP="00CE135F">
            <w:pPr>
              <w:ind w:left="360"/>
              <w:jc w:val="both"/>
              <w:rPr>
                <w:rFonts w:ascii="Arial" w:hAnsi="Arial" w:cs="Arial"/>
                <w:bCs/>
                <w:iCs/>
              </w:rPr>
            </w:pPr>
            <w:r w:rsidRPr="001F1D16">
              <w:rPr>
                <w:rFonts w:ascii="Arial" w:hAnsi="Arial" w:cs="Arial"/>
                <w:b/>
                <w:iCs/>
              </w:rPr>
              <w:lastRenderedPageBreak/>
              <w:t xml:space="preserve">ERCOT Market Impact Statement:  </w:t>
            </w:r>
            <w:r w:rsidR="008E54C3" w:rsidRPr="008E54C3">
              <w:rPr>
                <w:rFonts w:ascii="Arial" w:hAnsi="Arial" w:cs="Arial"/>
                <w:bCs/>
                <w:iCs/>
              </w:rPr>
              <w:t>ERCOT Staff has reviewed NPRR1179 and believes the market impact for NPRR1179 is improved economical fuel purchases by Entities that have an executed and enforceable transportation contract and file a Settlement dispute to recover their actual fuel costs incurred when instructed to operate due to a RUC.</w:t>
            </w:r>
          </w:p>
          <w:p w14:paraId="79F528C8" w14:textId="77777777" w:rsidR="007659A3" w:rsidRDefault="007659A3" w:rsidP="009D5805">
            <w:pPr>
              <w:ind w:left="360"/>
              <w:jc w:val="both"/>
              <w:rPr>
                <w:rFonts w:ascii="Arial" w:hAnsi="Arial" w:cs="Arial"/>
                <w:b/>
                <w:i/>
              </w:rPr>
            </w:pPr>
          </w:p>
          <w:p w14:paraId="1354B4A5" w14:textId="648C38AA" w:rsidR="007659A3" w:rsidRDefault="007659A3" w:rsidP="009D5805">
            <w:pPr>
              <w:numPr>
                <w:ilvl w:val="0"/>
                <w:numId w:val="23"/>
              </w:numPr>
              <w:jc w:val="both"/>
              <w:rPr>
                <w:rFonts w:ascii="Arial" w:hAnsi="Arial" w:cs="Arial"/>
                <w:b/>
                <w:i/>
              </w:rPr>
            </w:pPr>
            <w:r w:rsidRPr="00553BB5">
              <w:rPr>
                <w:rFonts w:ascii="Arial" w:hAnsi="Arial" w:cs="Arial"/>
                <w:b/>
                <w:i/>
              </w:rPr>
              <w:t>NPRR119</w:t>
            </w:r>
            <w:r>
              <w:rPr>
                <w:rFonts w:ascii="Arial" w:hAnsi="Arial" w:cs="Arial"/>
                <w:b/>
                <w:i/>
              </w:rPr>
              <w:t>3</w:t>
            </w:r>
            <w:r w:rsidRPr="00553BB5">
              <w:rPr>
                <w:rFonts w:ascii="Arial" w:hAnsi="Arial" w:cs="Arial"/>
                <w:b/>
                <w:i/>
              </w:rPr>
              <w:t xml:space="preserve">, </w:t>
            </w:r>
            <w:bookmarkStart w:id="3" w:name="_Hlk158818648"/>
            <w:r w:rsidR="005C3ABE" w:rsidRPr="005C3ABE">
              <w:rPr>
                <w:rFonts w:ascii="Arial" w:hAnsi="Arial" w:cs="Arial"/>
                <w:b/>
                <w:i/>
              </w:rPr>
              <w:t>Related to SMOGRR027, Move OBD to Settlement Metering Operating Guide – EPS Metering Design Proposal</w:t>
            </w:r>
            <w:bookmarkEnd w:id="3"/>
          </w:p>
          <w:p w14:paraId="33A2DADC" w14:textId="77777777" w:rsidR="007659A3" w:rsidRPr="005539E3" w:rsidRDefault="007659A3" w:rsidP="009D5805">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09B2F740" w14:textId="302BF9E3" w:rsidR="007659A3" w:rsidRPr="005539E3" w:rsidRDefault="007659A3" w:rsidP="00CE135F">
            <w:pPr>
              <w:pStyle w:val="BodyText"/>
              <w:spacing w:before="0" w:after="0"/>
              <w:ind w:left="360"/>
              <w:jc w:val="both"/>
              <w:rPr>
                <w:rFonts w:ascii="Arial" w:hAnsi="Arial" w:cs="Arial"/>
              </w:rPr>
            </w:pPr>
            <w:r w:rsidRPr="005539E3">
              <w:rPr>
                <w:rFonts w:ascii="Arial" w:hAnsi="Arial" w:cs="Arial"/>
                <w:b/>
              </w:rPr>
              <w:t xml:space="preserve">Proposed Effective Date: </w:t>
            </w:r>
            <w:r>
              <w:rPr>
                <w:rFonts w:ascii="Arial" w:hAnsi="Arial" w:cs="Arial"/>
                <w:b/>
              </w:rPr>
              <w:t xml:space="preserve"> </w:t>
            </w:r>
            <w:r w:rsidR="005C3ABE" w:rsidRPr="005C3ABE">
              <w:rPr>
                <w:rFonts w:ascii="Arial" w:hAnsi="Arial" w:cs="Arial"/>
                <w:bCs/>
              </w:rPr>
              <w:t xml:space="preserve">Upon implementation of </w:t>
            </w:r>
            <w:proofErr w:type="gramStart"/>
            <w:r w:rsidR="005C3ABE" w:rsidRPr="005C3ABE">
              <w:rPr>
                <w:rFonts w:ascii="Arial" w:hAnsi="Arial" w:cs="Arial"/>
                <w:bCs/>
              </w:rPr>
              <w:t>SMOGRR027</w:t>
            </w:r>
            <w:proofErr w:type="gramEnd"/>
          </w:p>
          <w:p w14:paraId="0502FCED" w14:textId="759ABF47" w:rsidR="008E54C3" w:rsidRDefault="008E54C3" w:rsidP="009D5805">
            <w:pPr>
              <w:ind w:left="360"/>
              <w:jc w:val="both"/>
              <w:rPr>
                <w:rFonts w:ascii="Arial" w:hAnsi="Arial" w:cs="Arial"/>
                <w:bCs/>
              </w:rPr>
            </w:pPr>
            <w:r>
              <w:rPr>
                <w:rFonts w:ascii="Arial" w:hAnsi="Arial" w:cs="Arial"/>
                <w:b/>
              </w:rPr>
              <w:t>Estimated Impacts</w:t>
            </w:r>
            <w:r w:rsidRPr="008E54C3">
              <w:rPr>
                <w:rFonts w:ascii="Arial" w:hAnsi="Arial" w:cs="Arial"/>
                <w:bCs/>
              </w:rPr>
              <w:t xml:space="preserve">:  </w:t>
            </w:r>
            <w:r w:rsidR="005C3ABE">
              <w:rPr>
                <w:rFonts w:ascii="Arial" w:hAnsi="Arial" w:cs="Arial"/>
                <w:bCs/>
              </w:rPr>
              <w:t>No Impact</w:t>
            </w:r>
          </w:p>
          <w:p w14:paraId="788D548B" w14:textId="24777C56" w:rsidR="007659A3" w:rsidRPr="008E54C3" w:rsidRDefault="007659A3" w:rsidP="009D5805">
            <w:pPr>
              <w:ind w:left="360"/>
              <w:jc w:val="both"/>
              <w:rPr>
                <w:rFonts w:ascii="Arial" w:hAnsi="Arial" w:cs="Arial"/>
                <w:bCs/>
                <w:iCs/>
              </w:rPr>
            </w:pPr>
            <w:r w:rsidRPr="005539E3">
              <w:rPr>
                <w:rFonts w:ascii="Arial" w:hAnsi="Arial" w:cs="Arial"/>
                <w:b/>
              </w:rPr>
              <w:t xml:space="preserve">Revision Description: </w:t>
            </w:r>
            <w:r w:rsidR="005C3ABE">
              <w:rPr>
                <w:rFonts w:ascii="Arial" w:hAnsi="Arial" w:cs="Arial"/>
                <w:b/>
              </w:rPr>
              <w:t xml:space="preserve"> </w:t>
            </w:r>
            <w:r w:rsidR="005C3ABE" w:rsidRPr="005C3ABE">
              <w:rPr>
                <w:rFonts w:ascii="Arial" w:hAnsi="Arial" w:cs="Arial"/>
                <w:bCs/>
              </w:rPr>
              <w:t xml:space="preserve">This NPRR changes the referenced location of the </w:t>
            </w:r>
            <w:r w:rsidR="00807A4F">
              <w:rPr>
                <w:rFonts w:ascii="Arial" w:hAnsi="Arial" w:cs="Arial"/>
                <w:bCs/>
              </w:rPr>
              <w:t>ERCOT-Polled Settlement (</w:t>
            </w:r>
            <w:r w:rsidR="005C3ABE" w:rsidRPr="005C3ABE">
              <w:rPr>
                <w:rFonts w:ascii="Arial" w:hAnsi="Arial" w:cs="Arial"/>
                <w:bCs/>
              </w:rPr>
              <w:t>EPS</w:t>
            </w:r>
            <w:r w:rsidR="00807A4F">
              <w:rPr>
                <w:rFonts w:ascii="Arial" w:hAnsi="Arial" w:cs="Arial"/>
                <w:bCs/>
              </w:rPr>
              <w:t>)</w:t>
            </w:r>
            <w:r w:rsidR="005C3ABE" w:rsidRPr="005C3ABE">
              <w:rPr>
                <w:rFonts w:ascii="Arial" w:hAnsi="Arial" w:cs="Arial"/>
                <w:bCs/>
              </w:rPr>
              <w:t xml:space="preserve"> Metering Design Proposal form, as it is moving from the Other Binding Document List into the Settlement Metering Operating Guide (SMOG).</w:t>
            </w:r>
          </w:p>
          <w:p w14:paraId="591ED528" w14:textId="3188852A" w:rsidR="005C3ABE" w:rsidRDefault="005C3ABE" w:rsidP="00CE135F">
            <w:pPr>
              <w:ind w:left="360"/>
              <w:jc w:val="both"/>
              <w:rPr>
                <w:rFonts w:ascii="Arial" w:hAnsi="Arial" w:cs="Arial"/>
                <w:b/>
                <w:iCs/>
              </w:rPr>
            </w:pPr>
            <w:r>
              <w:rPr>
                <w:rFonts w:ascii="Arial" w:hAnsi="Arial" w:cs="Arial"/>
                <w:b/>
                <w:iCs/>
              </w:rPr>
              <w:t xml:space="preserve">TAC Decision:  </w:t>
            </w:r>
            <w:r>
              <w:rPr>
                <w:rFonts w:ascii="Arial" w:hAnsi="Arial" w:cs="Arial"/>
                <w:bCs/>
                <w:iCs/>
              </w:rPr>
              <w:t>On 2/14/24, TAC voted unanimously to</w:t>
            </w:r>
            <w:r w:rsidRPr="005C3ABE">
              <w:rPr>
                <w:rFonts w:ascii="Arial" w:hAnsi="Arial" w:cs="Arial"/>
                <w:bCs/>
                <w:iCs/>
              </w:rPr>
              <w:t xml:space="preserve"> recommend approval of NPRR1193 as recommended by PRS in the 10/12/23 PRS Report</w:t>
            </w:r>
            <w:r>
              <w:rPr>
                <w:rFonts w:ascii="Arial" w:hAnsi="Arial" w:cs="Arial"/>
                <w:bCs/>
                <w:iCs/>
              </w:rPr>
              <w:t>.</w:t>
            </w:r>
            <w:r>
              <w:rPr>
                <w:rFonts w:ascii="Arial" w:hAnsi="Arial" w:cs="Arial"/>
                <w:b/>
                <w:iCs/>
              </w:rPr>
              <w:t xml:space="preserve">  </w:t>
            </w:r>
          </w:p>
          <w:p w14:paraId="60F15746" w14:textId="7D1CE8E0" w:rsidR="007659A3" w:rsidRDefault="007659A3" w:rsidP="00CE135F">
            <w:pPr>
              <w:ind w:left="360"/>
              <w:jc w:val="both"/>
              <w:rPr>
                <w:rFonts w:ascii="Arial" w:hAnsi="Arial" w:cs="Arial"/>
                <w:bCs/>
                <w:iCs/>
              </w:rPr>
            </w:pPr>
            <w:r w:rsidRPr="001F1D16">
              <w:rPr>
                <w:rFonts w:ascii="Arial" w:hAnsi="Arial" w:cs="Arial"/>
                <w:b/>
                <w:iCs/>
              </w:rPr>
              <w:t xml:space="preserve">ERCOT Market Impact Statement: </w:t>
            </w:r>
            <w:r w:rsidR="005C3ABE">
              <w:rPr>
                <w:rFonts w:ascii="Arial" w:hAnsi="Arial" w:cs="Arial"/>
                <w:b/>
                <w:iCs/>
              </w:rPr>
              <w:t xml:space="preserve"> </w:t>
            </w:r>
            <w:r w:rsidR="005C3ABE" w:rsidRPr="005C3ABE">
              <w:rPr>
                <w:rFonts w:ascii="Arial" w:hAnsi="Arial" w:cs="Arial"/>
                <w:bCs/>
                <w:iCs/>
              </w:rPr>
              <w:t>ERCOT Staff has reviewed NPRR1193 and believes it has a positive market impact by standardizing the approval process for binding language.</w:t>
            </w:r>
          </w:p>
          <w:p w14:paraId="73871F1E" w14:textId="77777777" w:rsidR="007659A3" w:rsidRDefault="007659A3" w:rsidP="009D5805">
            <w:pPr>
              <w:ind w:left="360"/>
              <w:jc w:val="both"/>
              <w:rPr>
                <w:rFonts w:ascii="Arial" w:hAnsi="Arial" w:cs="Arial"/>
                <w:b/>
                <w:i/>
              </w:rPr>
            </w:pPr>
          </w:p>
          <w:p w14:paraId="16F3927E" w14:textId="77777777" w:rsidR="007659A3" w:rsidRDefault="007659A3" w:rsidP="009D5805">
            <w:pPr>
              <w:numPr>
                <w:ilvl w:val="0"/>
                <w:numId w:val="23"/>
              </w:numPr>
              <w:jc w:val="both"/>
              <w:rPr>
                <w:rFonts w:ascii="Arial" w:hAnsi="Arial" w:cs="Arial"/>
                <w:b/>
                <w:i/>
              </w:rPr>
            </w:pPr>
            <w:r w:rsidRPr="002A5B66">
              <w:rPr>
                <w:rFonts w:ascii="Arial" w:hAnsi="Arial" w:cs="Arial"/>
                <w:b/>
                <w:i/>
              </w:rPr>
              <w:t>NPRR11</w:t>
            </w:r>
            <w:r>
              <w:rPr>
                <w:rFonts w:ascii="Arial" w:hAnsi="Arial" w:cs="Arial"/>
                <w:b/>
                <w:i/>
              </w:rPr>
              <w:t>95</w:t>
            </w:r>
            <w:r w:rsidRPr="002A5B66">
              <w:rPr>
                <w:rFonts w:ascii="Arial" w:hAnsi="Arial" w:cs="Arial"/>
                <w:b/>
                <w:i/>
              </w:rPr>
              <w:t xml:space="preserve">, </w:t>
            </w:r>
            <w:r w:rsidRPr="00DC0843">
              <w:rPr>
                <w:rFonts w:ascii="Arial" w:hAnsi="Arial" w:cs="Arial"/>
                <w:b/>
                <w:i/>
              </w:rPr>
              <w:t>Resource Entity Metering Facilities Maintenance</w:t>
            </w:r>
          </w:p>
          <w:p w14:paraId="1947AD0A" w14:textId="77777777" w:rsidR="007659A3" w:rsidRPr="005539E3" w:rsidRDefault="007659A3" w:rsidP="009D5805">
            <w:pPr>
              <w:ind w:left="360"/>
              <w:jc w:val="both"/>
              <w:rPr>
                <w:rFonts w:ascii="Arial" w:hAnsi="Arial" w:cs="Arial"/>
                <w:bCs/>
                <w:iCs/>
              </w:rPr>
            </w:pPr>
            <w:r>
              <w:rPr>
                <w:rFonts w:ascii="Arial" w:hAnsi="Arial" w:cs="Arial"/>
                <w:b/>
                <w:iCs/>
              </w:rPr>
              <w:t xml:space="preserve">Sponsor:  </w:t>
            </w:r>
            <w:r>
              <w:rPr>
                <w:rFonts w:ascii="Arial" w:hAnsi="Arial" w:cs="Arial"/>
                <w:bCs/>
                <w:iCs/>
              </w:rPr>
              <w:t>STEC</w:t>
            </w:r>
          </w:p>
          <w:p w14:paraId="6DC61420" w14:textId="77777777" w:rsidR="007659A3" w:rsidRPr="005539E3" w:rsidRDefault="007659A3" w:rsidP="00CE135F">
            <w:pPr>
              <w:pStyle w:val="BodyText"/>
              <w:spacing w:before="0" w:after="0"/>
              <w:ind w:left="360"/>
              <w:jc w:val="both"/>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 xml:space="preserve">The first of the month following PUCT </w:t>
            </w:r>
            <w:proofErr w:type="gramStart"/>
            <w:r>
              <w:rPr>
                <w:rFonts w:ascii="Arial" w:hAnsi="Arial" w:cs="Arial"/>
              </w:rPr>
              <w:t>approval</w:t>
            </w:r>
            <w:proofErr w:type="gramEnd"/>
          </w:p>
          <w:p w14:paraId="62FEF201" w14:textId="4A77AB41" w:rsidR="007659A3" w:rsidRPr="005539E3" w:rsidRDefault="008E54C3" w:rsidP="00CE135F">
            <w:pPr>
              <w:pStyle w:val="BodyText"/>
              <w:spacing w:before="0" w:after="0"/>
              <w:ind w:left="360"/>
              <w:jc w:val="both"/>
              <w:rPr>
                <w:rFonts w:ascii="Arial" w:hAnsi="Arial" w:cs="Arial"/>
                <w:i/>
              </w:rPr>
            </w:pPr>
            <w:r>
              <w:rPr>
                <w:rFonts w:ascii="Arial" w:hAnsi="Arial" w:cs="Arial"/>
                <w:b/>
              </w:rPr>
              <w:t>Estimated Impacts</w:t>
            </w:r>
            <w:r w:rsidR="007659A3" w:rsidRPr="005539E3">
              <w:rPr>
                <w:rFonts w:ascii="Arial" w:hAnsi="Arial" w:cs="Arial"/>
                <w:b/>
              </w:rPr>
              <w:t xml:space="preserve">:  </w:t>
            </w:r>
            <w:r>
              <w:rPr>
                <w:rFonts w:ascii="Arial" w:hAnsi="Arial" w:cs="Arial"/>
              </w:rPr>
              <w:t>No impact</w:t>
            </w:r>
          </w:p>
          <w:p w14:paraId="6996FD3B" w14:textId="218C1F89" w:rsidR="007659A3" w:rsidRPr="005539E3" w:rsidRDefault="007659A3" w:rsidP="009D5805">
            <w:pPr>
              <w:ind w:left="360"/>
              <w:jc w:val="both"/>
              <w:rPr>
                <w:rFonts w:ascii="Arial" w:hAnsi="Arial" w:cs="Arial"/>
              </w:rPr>
            </w:pPr>
            <w:r w:rsidRPr="005539E3">
              <w:rPr>
                <w:rFonts w:ascii="Arial" w:hAnsi="Arial" w:cs="Arial"/>
                <w:b/>
              </w:rPr>
              <w:t xml:space="preserve">Revision Description:  </w:t>
            </w:r>
            <w:r w:rsidRPr="005539E3">
              <w:rPr>
                <w:rFonts w:ascii="Arial" w:hAnsi="Arial" w:cs="Arial"/>
              </w:rPr>
              <w:t>This NPRR</w:t>
            </w:r>
            <w:r>
              <w:t xml:space="preserve"> </w:t>
            </w:r>
            <w:r w:rsidRPr="00DC0843">
              <w:rPr>
                <w:rFonts w:ascii="Arial" w:hAnsi="Arial" w:cs="Arial"/>
              </w:rPr>
              <w:t>assigns EPS Metering Facilities maintenance and repair responsibilities to the owner of the Metering Facilities when such is not owned by a Transmission and/or Distribution Service Provider (TDSP).</w:t>
            </w:r>
          </w:p>
          <w:p w14:paraId="2A4575F0" w14:textId="77777777" w:rsidR="007067B5" w:rsidRPr="008E54C3" w:rsidRDefault="007659A3" w:rsidP="009D5805">
            <w:pPr>
              <w:ind w:left="360"/>
              <w:jc w:val="both"/>
              <w:rPr>
                <w:rFonts w:ascii="Arial" w:hAnsi="Arial" w:cs="Arial"/>
                <w:bCs/>
              </w:rPr>
            </w:pPr>
            <w:r>
              <w:rPr>
                <w:rFonts w:ascii="Arial" w:hAnsi="Arial" w:cs="Arial"/>
                <w:b/>
                <w:iCs/>
              </w:rPr>
              <w:t xml:space="preserve">TAC Decision:  </w:t>
            </w:r>
            <w:r w:rsidR="007067B5" w:rsidRPr="008E54C3">
              <w:rPr>
                <w:rFonts w:ascii="Arial" w:hAnsi="Arial" w:cs="Arial"/>
                <w:bCs/>
              </w:rPr>
              <w:t xml:space="preserve">On 1/24/24, TAC voted unanimously to recommend approval of NPRR1195 as recommended by PRS in the 1/11/24 PRS Report.   </w:t>
            </w:r>
          </w:p>
          <w:p w14:paraId="3D0086D7" w14:textId="24D7C148" w:rsidR="007659A3" w:rsidRDefault="007659A3" w:rsidP="00CE135F">
            <w:pPr>
              <w:ind w:left="360"/>
              <w:jc w:val="both"/>
              <w:rPr>
                <w:rFonts w:ascii="Arial" w:hAnsi="Arial" w:cs="Arial"/>
                <w:bCs/>
                <w:iCs/>
              </w:rPr>
            </w:pPr>
            <w:r w:rsidRPr="001F1D16">
              <w:rPr>
                <w:rFonts w:ascii="Arial" w:hAnsi="Arial" w:cs="Arial"/>
                <w:b/>
                <w:iCs/>
              </w:rPr>
              <w:t xml:space="preserve">ERCOT Market Impact Statement:  </w:t>
            </w:r>
            <w:r w:rsidR="007067B5" w:rsidRPr="008E54C3">
              <w:rPr>
                <w:rFonts w:ascii="Arial" w:hAnsi="Arial" w:cs="Arial"/>
                <w:bCs/>
                <w:iCs/>
              </w:rPr>
              <w:t>ERCOT Staff has reviewed NPRR1195 and believes the market impact for NPRR1195 is clarified responsibility for and improved maintenance of EPS Metering Facilities.</w:t>
            </w:r>
          </w:p>
          <w:p w14:paraId="036C64A4" w14:textId="77777777" w:rsidR="007659A3" w:rsidRDefault="007659A3" w:rsidP="009D5805">
            <w:pPr>
              <w:ind w:left="360"/>
              <w:jc w:val="both"/>
              <w:rPr>
                <w:rFonts w:ascii="Arial" w:hAnsi="Arial" w:cs="Arial"/>
                <w:b/>
                <w:i/>
              </w:rPr>
            </w:pPr>
          </w:p>
          <w:p w14:paraId="63F6C75F" w14:textId="22CF3D38" w:rsidR="009202E9" w:rsidRDefault="009202E9" w:rsidP="009D5805">
            <w:pPr>
              <w:numPr>
                <w:ilvl w:val="0"/>
                <w:numId w:val="23"/>
              </w:numPr>
              <w:jc w:val="both"/>
              <w:rPr>
                <w:rFonts w:ascii="Arial" w:hAnsi="Arial" w:cs="Arial"/>
                <w:b/>
                <w:i/>
              </w:rPr>
            </w:pPr>
            <w:r w:rsidRPr="00553BB5">
              <w:rPr>
                <w:rFonts w:ascii="Arial" w:hAnsi="Arial" w:cs="Arial"/>
                <w:b/>
                <w:i/>
              </w:rPr>
              <w:t>NPRR1199, Implementation of Lone Star Infrastructure Protection Act (LSIPA) Requirements – URGENT</w:t>
            </w:r>
          </w:p>
          <w:p w14:paraId="0D4B8253" w14:textId="77777777" w:rsidR="009202E9" w:rsidRPr="005539E3" w:rsidRDefault="009202E9" w:rsidP="009D5805">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24D35277" w14:textId="53B1BBF1" w:rsidR="009202E9" w:rsidRPr="005539E3" w:rsidRDefault="009202E9" w:rsidP="00CE135F">
            <w:pPr>
              <w:pStyle w:val="BodyText"/>
              <w:spacing w:before="0" w:after="0"/>
              <w:ind w:left="360"/>
              <w:jc w:val="both"/>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 xml:space="preserve">The first of the month following PUCT </w:t>
            </w:r>
            <w:proofErr w:type="gramStart"/>
            <w:r>
              <w:rPr>
                <w:rFonts w:ascii="Arial" w:hAnsi="Arial" w:cs="Arial"/>
              </w:rPr>
              <w:t>approval</w:t>
            </w:r>
            <w:proofErr w:type="gramEnd"/>
          </w:p>
          <w:p w14:paraId="55EC1FFC" w14:textId="77777777" w:rsidR="005C3ABE" w:rsidRPr="005539E3" w:rsidRDefault="005C3ABE" w:rsidP="00CE135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No impact</w:t>
            </w:r>
          </w:p>
          <w:p w14:paraId="1D0C4B94" w14:textId="77777777" w:rsidR="009202E9" w:rsidRPr="005539E3" w:rsidRDefault="009202E9" w:rsidP="009D5805">
            <w:pPr>
              <w:ind w:left="360"/>
              <w:jc w:val="both"/>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553BB5">
              <w:rPr>
                <w:rFonts w:ascii="Arial" w:hAnsi="Arial" w:cs="Arial"/>
              </w:rPr>
              <w:t xml:space="preserve">revises the Protocols to reflect new requirements added to the Lone Star Infrastructure Protection Act </w:t>
            </w:r>
            <w:r>
              <w:rPr>
                <w:rFonts w:ascii="Arial" w:hAnsi="Arial" w:cs="Arial"/>
              </w:rPr>
              <w:t>(</w:t>
            </w:r>
            <w:r w:rsidRPr="00553BB5">
              <w:rPr>
                <w:rFonts w:ascii="Arial" w:hAnsi="Arial" w:cs="Arial"/>
              </w:rPr>
              <w:t>LSIPA</w:t>
            </w:r>
            <w:r>
              <w:rPr>
                <w:rFonts w:ascii="Arial" w:hAnsi="Arial" w:cs="Arial"/>
              </w:rPr>
              <w:t>)</w:t>
            </w:r>
            <w:r w:rsidRPr="00553BB5">
              <w:rPr>
                <w:rFonts w:ascii="Arial" w:hAnsi="Arial" w:cs="Arial"/>
              </w:rPr>
              <w:t xml:space="preserve"> as part of Senate Bill (SB) 2013 during the 88th regular legislative session.</w:t>
            </w:r>
          </w:p>
          <w:p w14:paraId="27C716A5" w14:textId="5494ACC9" w:rsidR="00E86339" w:rsidRDefault="002B02D1" w:rsidP="00CE135F">
            <w:pPr>
              <w:ind w:left="360"/>
              <w:jc w:val="both"/>
              <w:rPr>
                <w:rFonts w:ascii="Arial" w:hAnsi="Arial" w:cs="Arial"/>
                <w:bCs/>
                <w:iCs/>
              </w:rPr>
            </w:pPr>
            <w:r>
              <w:rPr>
                <w:rFonts w:ascii="Arial" w:hAnsi="Arial" w:cs="Arial"/>
                <w:b/>
                <w:iCs/>
              </w:rPr>
              <w:t xml:space="preserve">TAC Decision:  </w:t>
            </w:r>
            <w:r w:rsidR="005C3ABE" w:rsidRPr="005C3ABE">
              <w:rPr>
                <w:rFonts w:ascii="Arial" w:hAnsi="Arial" w:cs="Arial"/>
                <w:bCs/>
                <w:iCs/>
              </w:rPr>
              <w:t xml:space="preserve">On 2/14/24, TAC voted unanimously to recommend approval of NPRR1199 as recommended by PRS in the 2/8/24 PRS Report as amended by the 2/13/24 ERCOT </w:t>
            </w:r>
            <w:proofErr w:type="gramStart"/>
            <w:r w:rsidR="005C3ABE" w:rsidRPr="005C3ABE">
              <w:rPr>
                <w:rFonts w:ascii="Arial" w:hAnsi="Arial" w:cs="Arial"/>
                <w:bCs/>
                <w:iCs/>
              </w:rPr>
              <w:t>comments</w:t>
            </w:r>
            <w:proofErr w:type="gramEnd"/>
          </w:p>
          <w:p w14:paraId="5E1D5437" w14:textId="7C79AEB1" w:rsidR="00A11CED" w:rsidRDefault="00E86339" w:rsidP="00CE135F">
            <w:pPr>
              <w:ind w:left="360"/>
              <w:jc w:val="both"/>
              <w:rPr>
                <w:rFonts w:ascii="Arial" w:hAnsi="Arial" w:cs="Arial"/>
                <w:bCs/>
                <w:iCs/>
              </w:rPr>
            </w:pPr>
            <w:r w:rsidRPr="001F1D16">
              <w:rPr>
                <w:rFonts w:ascii="Arial" w:hAnsi="Arial" w:cs="Arial"/>
                <w:b/>
                <w:iCs/>
              </w:rPr>
              <w:lastRenderedPageBreak/>
              <w:t xml:space="preserve">ERCOT Market Impact Statement:  </w:t>
            </w:r>
            <w:r w:rsidR="005C3ABE" w:rsidRPr="005C3ABE">
              <w:rPr>
                <w:rFonts w:ascii="Arial" w:hAnsi="Arial" w:cs="Arial"/>
                <w:bCs/>
                <w:iCs/>
              </w:rPr>
              <w:t>ERCOT Staff has reviewed NPRR1199 and believes the market impact for NPRR1199 provides sufficient compromise between stakeholders and ERCOT regarding the incorporation of the LSIPA into the Protocols.</w:t>
            </w:r>
          </w:p>
          <w:p w14:paraId="0FBE06E2" w14:textId="77777777" w:rsidR="007659A3" w:rsidRDefault="007659A3" w:rsidP="00CE135F">
            <w:pPr>
              <w:ind w:left="360"/>
              <w:jc w:val="both"/>
              <w:rPr>
                <w:rFonts w:ascii="Arial" w:hAnsi="Arial" w:cs="Arial"/>
                <w:bCs/>
                <w:iCs/>
              </w:rPr>
            </w:pPr>
          </w:p>
          <w:p w14:paraId="34A37144" w14:textId="77777777" w:rsidR="007659A3" w:rsidRDefault="007659A3" w:rsidP="009D5805">
            <w:pPr>
              <w:numPr>
                <w:ilvl w:val="0"/>
                <w:numId w:val="23"/>
              </w:numPr>
              <w:jc w:val="both"/>
              <w:rPr>
                <w:rFonts w:ascii="Arial" w:hAnsi="Arial" w:cs="Arial"/>
                <w:b/>
                <w:i/>
              </w:rPr>
            </w:pPr>
            <w:r w:rsidRPr="002A5B66">
              <w:rPr>
                <w:rFonts w:ascii="Arial" w:hAnsi="Arial" w:cs="Arial"/>
                <w:b/>
                <w:i/>
              </w:rPr>
              <w:t>NPRR1</w:t>
            </w:r>
            <w:r>
              <w:rPr>
                <w:rFonts w:ascii="Arial" w:hAnsi="Arial" w:cs="Arial"/>
                <w:b/>
                <w:i/>
              </w:rPr>
              <w:t>206</w:t>
            </w:r>
            <w:r w:rsidRPr="002A5B66">
              <w:rPr>
                <w:rFonts w:ascii="Arial" w:hAnsi="Arial" w:cs="Arial"/>
                <w:b/>
                <w:i/>
              </w:rPr>
              <w:t xml:space="preserve">, </w:t>
            </w:r>
            <w:r w:rsidRPr="00F94B25">
              <w:rPr>
                <w:rFonts w:ascii="Arial" w:hAnsi="Arial" w:cs="Arial"/>
                <w:b/>
                <w:i/>
              </w:rPr>
              <w:t>Revisions to QSE Operations and Termination Requirements, and Elimination of Providing Certain Market Participant Principal Information</w:t>
            </w:r>
          </w:p>
          <w:p w14:paraId="7D3D07E1" w14:textId="77777777" w:rsidR="007659A3" w:rsidRPr="005539E3" w:rsidRDefault="007659A3" w:rsidP="009D5805">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29643C33" w14:textId="77777777" w:rsidR="007659A3" w:rsidRPr="005539E3" w:rsidRDefault="007659A3" w:rsidP="00CE135F">
            <w:pPr>
              <w:pStyle w:val="BodyText"/>
              <w:spacing w:before="0" w:after="0"/>
              <w:ind w:left="360"/>
              <w:jc w:val="both"/>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 xml:space="preserve">The first of the month following PUCT </w:t>
            </w:r>
            <w:proofErr w:type="gramStart"/>
            <w:r>
              <w:rPr>
                <w:rFonts w:ascii="Arial" w:hAnsi="Arial" w:cs="Arial"/>
              </w:rPr>
              <w:t>approval</w:t>
            </w:r>
            <w:proofErr w:type="gramEnd"/>
          </w:p>
          <w:p w14:paraId="340637B7" w14:textId="77777777" w:rsidR="007067B5" w:rsidRPr="005539E3" w:rsidRDefault="007067B5" w:rsidP="00CE135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No impact</w:t>
            </w:r>
          </w:p>
          <w:p w14:paraId="3D09AECF" w14:textId="77777777" w:rsidR="007659A3" w:rsidRPr="005539E3" w:rsidRDefault="007659A3" w:rsidP="009D5805">
            <w:pPr>
              <w:ind w:left="360"/>
              <w:jc w:val="both"/>
              <w:rPr>
                <w:rFonts w:ascii="Arial" w:hAnsi="Arial" w:cs="Arial"/>
              </w:rPr>
            </w:pPr>
            <w:r w:rsidRPr="005539E3">
              <w:rPr>
                <w:rFonts w:ascii="Arial" w:hAnsi="Arial" w:cs="Arial"/>
                <w:b/>
              </w:rPr>
              <w:t xml:space="preserve">Revision Description:  </w:t>
            </w:r>
            <w:r w:rsidRPr="005539E3">
              <w:rPr>
                <w:rFonts w:ascii="Arial" w:hAnsi="Arial" w:cs="Arial"/>
              </w:rPr>
              <w:t>This NPRR</w:t>
            </w:r>
            <w:r>
              <w:t xml:space="preserve"> </w:t>
            </w:r>
            <w:r w:rsidRPr="00F94B25">
              <w:rPr>
                <w:rFonts w:ascii="Arial" w:hAnsi="Arial" w:cs="Arial"/>
              </w:rPr>
              <w:t xml:space="preserve">clarifies the types of QSEs required to have a Hotline and a 24-hour, seven-day-per-week (24x7) control or operations center.  </w:t>
            </w:r>
          </w:p>
          <w:p w14:paraId="3B6A1A64" w14:textId="4DE0FAAB" w:rsidR="007659A3" w:rsidRDefault="007659A3" w:rsidP="00CE135F">
            <w:pPr>
              <w:ind w:left="360"/>
              <w:jc w:val="both"/>
              <w:rPr>
                <w:rFonts w:ascii="Arial" w:hAnsi="Arial" w:cs="Arial"/>
                <w:bCs/>
                <w:iCs/>
              </w:rPr>
            </w:pPr>
            <w:r>
              <w:rPr>
                <w:rFonts w:ascii="Arial" w:hAnsi="Arial" w:cs="Arial"/>
                <w:b/>
                <w:iCs/>
              </w:rPr>
              <w:t xml:space="preserve">TAC Decision:  </w:t>
            </w:r>
            <w:r w:rsidR="00AB7379" w:rsidRPr="00AB7379">
              <w:rPr>
                <w:rFonts w:ascii="Arial" w:hAnsi="Arial" w:cs="Arial"/>
                <w:bCs/>
                <w:iCs/>
              </w:rPr>
              <w:t>On 1/24/24, TAC voted unanimously to recommend approval of NPRR1206 as recommended by PRS in the 1/11/24 PRS Report.</w:t>
            </w:r>
            <w:r w:rsidR="00AB7379" w:rsidRPr="00AB7379">
              <w:rPr>
                <w:rFonts w:ascii="Arial" w:hAnsi="Arial" w:cs="Arial"/>
                <w:b/>
                <w:iCs/>
              </w:rPr>
              <w:t xml:space="preserve">  </w:t>
            </w:r>
          </w:p>
          <w:p w14:paraId="70833A61" w14:textId="1FC9F6E6" w:rsidR="007659A3" w:rsidRDefault="007659A3" w:rsidP="00CE135F">
            <w:pPr>
              <w:ind w:left="360"/>
              <w:jc w:val="both"/>
              <w:rPr>
                <w:rFonts w:ascii="Arial" w:hAnsi="Arial" w:cs="Arial"/>
                <w:bCs/>
                <w:iCs/>
              </w:rPr>
            </w:pPr>
            <w:r w:rsidRPr="001F1D16">
              <w:rPr>
                <w:rFonts w:ascii="Arial" w:hAnsi="Arial" w:cs="Arial"/>
                <w:b/>
                <w:iCs/>
              </w:rPr>
              <w:t xml:space="preserve">ERCOT Market Impact Statement:  </w:t>
            </w:r>
            <w:r w:rsidR="00AB7379" w:rsidRPr="00AB7379">
              <w:rPr>
                <w:rFonts w:ascii="Arial" w:hAnsi="Arial" w:cs="Arial"/>
                <w:bCs/>
                <w:iCs/>
              </w:rPr>
              <w:t>ERCOT Staff has reviewed NPRR1206 and believes that it provides a positive market impact by embodying Strategic Plan Objective 1 through the clarification of types of QSEs that are required to have a Hotline and a 24x7 control or operations center; the clarification of various Resource Entity deadlines; and the elimination of the requirement to provide certain unnecessary Market Participant Principal information.</w:t>
            </w:r>
          </w:p>
          <w:p w14:paraId="03C472FF" w14:textId="77777777" w:rsidR="007659A3" w:rsidRDefault="007659A3" w:rsidP="00CE135F">
            <w:pPr>
              <w:ind w:left="360"/>
              <w:jc w:val="both"/>
              <w:rPr>
                <w:rFonts w:ascii="Arial" w:hAnsi="Arial" w:cs="Arial"/>
                <w:bCs/>
                <w:iCs/>
              </w:rPr>
            </w:pPr>
          </w:p>
          <w:p w14:paraId="64A58FBB" w14:textId="77777777" w:rsidR="007659A3" w:rsidRDefault="007659A3" w:rsidP="009D5805">
            <w:pPr>
              <w:numPr>
                <w:ilvl w:val="0"/>
                <w:numId w:val="23"/>
              </w:numPr>
              <w:jc w:val="both"/>
              <w:rPr>
                <w:rFonts w:ascii="Arial" w:hAnsi="Arial" w:cs="Arial"/>
                <w:b/>
                <w:i/>
              </w:rPr>
            </w:pPr>
            <w:r w:rsidRPr="002A5B66">
              <w:rPr>
                <w:rFonts w:ascii="Arial" w:hAnsi="Arial" w:cs="Arial"/>
                <w:b/>
                <w:i/>
              </w:rPr>
              <w:t>NPRR1</w:t>
            </w:r>
            <w:r>
              <w:rPr>
                <w:rFonts w:ascii="Arial" w:hAnsi="Arial" w:cs="Arial"/>
                <w:b/>
                <w:i/>
              </w:rPr>
              <w:t>207</w:t>
            </w:r>
            <w:r w:rsidRPr="002A5B66">
              <w:rPr>
                <w:rFonts w:ascii="Arial" w:hAnsi="Arial" w:cs="Arial"/>
                <w:b/>
                <w:i/>
              </w:rPr>
              <w:t xml:space="preserve">, </w:t>
            </w:r>
            <w:r w:rsidRPr="00705A1A">
              <w:rPr>
                <w:rFonts w:ascii="Arial" w:hAnsi="Arial" w:cs="Arial"/>
                <w:b/>
                <w:i/>
              </w:rPr>
              <w:t>Incidental Disclosure of Protected Information and ECEII During ERCOT Control Room Tours</w:t>
            </w:r>
          </w:p>
          <w:p w14:paraId="3E87D9E4" w14:textId="77777777" w:rsidR="007659A3" w:rsidRPr="005539E3" w:rsidRDefault="007659A3" w:rsidP="009D5805">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7CBEDB50" w14:textId="77777777" w:rsidR="007659A3" w:rsidRPr="005539E3" w:rsidRDefault="007659A3" w:rsidP="00CE135F">
            <w:pPr>
              <w:pStyle w:val="BodyText"/>
              <w:spacing w:before="0" w:after="0"/>
              <w:ind w:left="360"/>
              <w:jc w:val="both"/>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 xml:space="preserve">The first of the month following PUCT </w:t>
            </w:r>
            <w:proofErr w:type="gramStart"/>
            <w:r>
              <w:rPr>
                <w:rFonts w:ascii="Arial" w:hAnsi="Arial" w:cs="Arial"/>
              </w:rPr>
              <w:t>approval</w:t>
            </w:r>
            <w:proofErr w:type="gramEnd"/>
          </w:p>
          <w:p w14:paraId="2433DCD1" w14:textId="77777777" w:rsidR="00AB7379" w:rsidRPr="005539E3" w:rsidRDefault="00AB7379" w:rsidP="00CE135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No impact</w:t>
            </w:r>
          </w:p>
          <w:p w14:paraId="6602CCBA" w14:textId="32C000C9" w:rsidR="007659A3" w:rsidRPr="005539E3" w:rsidRDefault="007659A3" w:rsidP="009D5805">
            <w:pPr>
              <w:ind w:left="360"/>
              <w:jc w:val="both"/>
              <w:rPr>
                <w:rFonts w:ascii="Arial" w:hAnsi="Arial" w:cs="Arial"/>
              </w:rPr>
            </w:pPr>
            <w:r w:rsidRPr="005539E3">
              <w:rPr>
                <w:rFonts w:ascii="Arial" w:hAnsi="Arial" w:cs="Arial"/>
                <w:b/>
              </w:rPr>
              <w:t xml:space="preserve">Revision Description:  </w:t>
            </w:r>
            <w:r w:rsidRPr="005539E3">
              <w:rPr>
                <w:rFonts w:ascii="Arial" w:hAnsi="Arial" w:cs="Arial"/>
              </w:rPr>
              <w:t>This NPRR</w:t>
            </w:r>
            <w:r>
              <w:t xml:space="preserve"> </w:t>
            </w:r>
            <w:r w:rsidRPr="00705A1A">
              <w:rPr>
                <w:rFonts w:ascii="Arial" w:hAnsi="Arial" w:cs="Arial"/>
              </w:rPr>
              <w:t>permit</w:t>
            </w:r>
            <w:r>
              <w:rPr>
                <w:rFonts w:ascii="Arial" w:hAnsi="Arial" w:cs="Arial"/>
              </w:rPr>
              <w:t>s</w:t>
            </w:r>
            <w:r w:rsidRPr="00705A1A">
              <w:rPr>
                <w:rFonts w:ascii="Arial" w:hAnsi="Arial" w:cs="Arial"/>
              </w:rPr>
              <w:t xml:space="preserve"> the incidental disclosure of Protected Information and ERCOT Critical Energy Infrastructure Information (ECEII) as part of a tour or overlook viewing of the ERCOT control room provided to eligible persons who, prior to accessing the control room, have signed nondisclosure agreements (NDAs</w:t>
            </w:r>
            <w:proofErr w:type="gramStart"/>
            <w:r w:rsidRPr="00705A1A">
              <w:rPr>
                <w:rFonts w:ascii="Arial" w:hAnsi="Arial" w:cs="Arial"/>
              </w:rPr>
              <w:t>)</w:t>
            </w:r>
            <w:proofErr w:type="gramEnd"/>
            <w:r w:rsidRPr="00705A1A">
              <w:rPr>
                <w:rFonts w:ascii="Arial" w:hAnsi="Arial" w:cs="Arial"/>
              </w:rPr>
              <w:t xml:space="preserve"> and complied with screening and other requirements provided in a policy adopted by ERCOT security.  </w:t>
            </w:r>
          </w:p>
          <w:p w14:paraId="1D651B36" w14:textId="5E647CE4" w:rsidR="007659A3" w:rsidRDefault="007659A3" w:rsidP="00CE135F">
            <w:pPr>
              <w:ind w:left="360"/>
              <w:jc w:val="both"/>
              <w:rPr>
                <w:rFonts w:ascii="Arial" w:hAnsi="Arial" w:cs="Arial"/>
                <w:bCs/>
                <w:iCs/>
              </w:rPr>
            </w:pPr>
            <w:r>
              <w:rPr>
                <w:rFonts w:ascii="Arial" w:hAnsi="Arial" w:cs="Arial"/>
                <w:b/>
                <w:iCs/>
              </w:rPr>
              <w:t xml:space="preserve">TAC Decision:  </w:t>
            </w:r>
            <w:r w:rsidR="00AB7379" w:rsidRPr="00AB7379">
              <w:rPr>
                <w:rFonts w:ascii="Arial" w:hAnsi="Arial" w:cs="Arial"/>
                <w:bCs/>
                <w:iCs/>
              </w:rPr>
              <w:t>On 1/24/24, TAC voted unanimously to recommend approval of NPRR1207 as recommended by PRS in the 1/11/24 PRS Report.</w:t>
            </w:r>
            <w:r w:rsidR="00AB7379" w:rsidRPr="00AB7379">
              <w:rPr>
                <w:rFonts w:ascii="Arial" w:hAnsi="Arial" w:cs="Arial"/>
                <w:b/>
                <w:iCs/>
              </w:rPr>
              <w:t xml:space="preserve">  </w:t>
            </w:r>
          </w:p>
          <w:p w14:paraId="4AD1A495" w14:textId="75EFD421" w:rsidR="007659A3" w:rsidRDefault="007659A3" w:rsidP="00CE135F">
            <w:pPr>
              <w:ind w:left="360"/>
              <w:jc w:val="both"/>
              <w:rPr>
                <w:rFonts w:ascii="Arial" w:hAnsi="Arial" w:cs="Arial"/>
                <w:bCs/>
                <w:iCs/>
              </w:rPr>
            </w:pPr>
            <w:r w:rsidRPr="001F1D16">
              <w:rPr>
                <w:rFonts w:ascii="Arial" w:hAnsi="Arial" w:cs="Arial"/>
                <w:b/>
                <w:iCs/>
              </w:rPr>
              <w:t xml:space="preserve">ERCOT Market Impact Statement:  </w:t>
            </w:r>
            <w:r w:rsidR="00AB7379" w:rsidRPr="00AB7379">
              <w:rPr>
                <w:rFonts w:ascii="Arial" w:hAnsi="Arial" w:cs="Arial"/>
                <w:bCs/>
                <w:iCs/>
              </w:rPr>
              <w:t xml:space="preserve">ERCOT Staff has reviewed NPRR1207 and believes it would permit the incidental disclosure of Protected Information and ECEII as part of a tour or overlook viewing of the ERCOT control room provided to eligible persons who, prior to accessing the control room, have signed NDAs and complied with screening and other requirements provided in a policy adopted by ERCOT security, establishes a prohibition on taking photographs and recordings of Protected Information and ECEII,  and exempts ERCOT from the requirement to provide notice of disclosure when ECEII or Protected Information is incidentally disclosed as part of a control room tour or overlook viewing, consistent with the conditions described above except for persons who are a director, officer, employee, agent, representative, contractor, or consultant of a Market Participant </w:t>
            </w:r>
            <w:r w:rsidR="00AB7379" w:rsidRPr="00AB7379">
              <w:rPr>
                <w:rFonts w:ascii="Arial" w:hAnsi="Arial" w:cs="Arial"/>
                <w:bCs/>
                <w:iCs/>
              </w:rPr>
              <w:lastRenderedPageBreak/>
              <w:t xml:space="preserve">that is registered with ERCOT as a Resource Entity, QSE, </w:t>
            </w:r>
            <w:r w:rsidR="00807A4F">
              <w:rPr>
                <w:rFonts w:ascii="Arial" w:hAnsi="Arial" w:cs="Arial"/>
                <w:bCs/>
                <w:iCs/>
              </w:rPr>
              <w:t>Load Serving Entity (</w:t>
            </w:r>
            <w:r w:rsidR="00AB7379" w:rsidRPr="00AB7379">
              <w:rPr>
                <w:rFonts w:ascii="Arial" w:hAnsi="Arial" w:cs="Arial"/>
                <w:bCs/>
                <w:iCs/>
              </w:rPr>
              <w:t>LSE</w:t>
            </w:r>
            <w:r w:rsidR="00807A4F">
              <w:rPr>
                <w:rFonts w:ascii="Arial" w:hAnsi="Arial" w:cs="Arial"/>
                <w:bCs/>
                <w:iCs/>
              </w:rPr>
              <w:t>)</w:t>
            </w:r>
            <w:r w:rsidR="00AB7379" w:rsidRPr="00AB7379">
              <w:rPr>
                <w:rFonts w:ascii="Arial" w:hAnsi="Arial" w:cs="Arial"/>
                <w:bCs/>
                <w:iCs/>
              </w:rPr>
              <w:t xml:space="preserve">, or </w:t>
            </w:r>
            <w:r w:rsidR="00807A4F">
              <w:rPr>
                <w:rFonts w:ascii="Arial" w:hAnsi="Arial" w:cs="Arial"/>
                <w:bCs/>
                <w:iCs/>
              </w:rPr>
              <w:t>Congestion Revenue Right (</w:t>
            </w:r>
            <w:r w:rsidR="00AB7379" w:rsidRPr="00AB7379">
              <w:rPr>
                <w:rFonts w:ascii="Arial" w:hAnsi="Arial" w:cs="Arial"/>
                <w:bCs/>
                <w:iCs/>
              </w:rPr>
              <w:t>CRR</w:t>
            </w:r>
            <w:r w:rsidR="00807A4F">
              <w:rPr>
                <w:rFonts w:ascii="Arial" w:hAnsi="Arial" w:cs="Arial"/>
                <w:bCs/>
                <w:iCs/>
              </w:rPr>
              <w:t>)</w:t>
            </w:r>
            <w:r w:rsidR="00AB7379" w:rsidRPr="00AB7379">
              <w:rPr>
                <w:rFonts w:ascii="Arial" w:hAnsi="Arial" w:cs="Arial"/>
                <w:bCs/>
                <w:iCs/>
              </w:rPr>
              <w:t xml:space="preserve"> Account Holder.</w:t>
            </w:r>
          </w:p>
          <w:p w14:paraId="1ED70BBA" w14:textId="77777777" w:rsidR="007659A3" w:rsidRDefault="007659A3" w:rsidP="00CE135F">
            <w:pPr>
              <w:ind w:left="360"/>
              <w:jc w:val="both"/>
              <w:rPr>
                <w:rFonts w:ascii="Arial" w:hAnsi="Arial" w:cs="Arial"/>
                <w:bCs/>
                <w:iCs/>
              </w:rPr>
            </w:pPr>
          </w:p>
          <w:p w14:paraId="312B2CE6" w14:textId="77777777" w:rsidR="007659A3" w:rsidRPr="00DB2731" w:rsidRDefault="007659A3" w:rsidP="009D5805">
            <w:pPr>
              <w:numPr>
                <w:ilvl w:val="0"/>
                <w:numId w:val="23"/>
              </w:numPr>
              <w:jc w:val="both"/>
              <w:rPr>
                <w:rFonts w:ascii="Arial" w:hAnsi="Arial" w:cs="Arial"/>
                <w:bCs/>
                <w:iCs/>
              </w:rPr>
            </w:pPr>
            <w:r w:rsidRPr="00DB2731">
              <w:rPr>
                <w:rFonts w:ascii="Arial" w:hAnsi="Arial" w:cs="Arial"/>
                <w:b/>
                <w:i/>
              </w:rPr>
              <w:t>NPRR1</w:t>
            </w:r>
            <w:r>
              <w:rPr>
                <w:rFonts w:ascii="Arial" w:hAnsi="Arial" w:cs="Arial"/>
                <w:b/>
                <w:i/>
              </w:rPr>
              <w:t>208</w:t>
            </w:r>
            <w:r w:rsidRPr="00DB2731">
              <w:rPr>
                <w:rFonts w:ascii="Arial" w:hAnsi="Arial" w:cs="Arial"/>
                <w:b/>
                <w:i/>
              </w:rPr>
              <w:t xml:space="preserve">, </w:t>
            </w:r>
            <w:r w:rsidRPr="0005777F">
              <w:rPr>
                <w:rFonts w:ascii="Arial" w:hAnsi="Arial" w:cs="Arial"/>
                <w:b/>
                <w:i/>
              </w:rPr>
              <w:t>Creation of Invoice Report</w:t>
            </w:r>
          </w:p>
          <w:p w14:paraId="606645AD" w14:textId="722C35F0" w:rsidR="007659A3" w:rsidRPr="00DB2731" w:rsidRDefault="007659A3" w:rsidP="009D5805">
            <w:pPr>
              <w:ind w:left="360"/>
              <w:jc w:val="both"/>
              <w:rPr>
                <w:rFonts w:ascii="Arial" w:hAnsi="Arial" w:cs="Arial"/>
                <w:bCs/>
                <w:iCs/>
              </w:rPr>
            </w:pPr>
            <w:r w:rsidRPr="00DB2731">
              <w:rPr>
                <w:rFonts w:ascii="Arial" w:hAnsi="Arial" w:cs="Arial"/>
                <w:b/>
                <w:iCs/>
              </w:rPr>
              <w:t xml:space="preserve">Sponsor:  </w:t>
            </w:r>
            <w:r w:rsidRPr="0005777F">
              <w:rPr>
                <w:rFonts w:ascii="Arial" w:hAnsi="Arial" w:cs="Arial"/>
                <w:bCs/>
                <w:iCs/>
              </w:rPr>
              <w:t>Reliant</w:t>
            </w:r>
            <w:r w:rsidR="00807A4F">
              <w:rPr>
                <w:rFonts w:ascii="Arial" w:hAnsi="Arial" w:cs="Arial"/>
                <w:bCs/>
                <w:iCs/>
              </w:rPr>
              <w:t xml:space="preserve"> Energy</w:t>
            </w:r>
          </w:p>
          <w:p w14:paraId="4E8BDAAF" w14:textId="77777777" w:rsidR="007659A3" w:rsidRPr="005539E3" w:rsidRDefault="007659A3" w:rsidP="00CE135F">
            <w:pPr>
              <w:pStyle w:val="BodyText"/>
              <w:spacing w:before="0" w:after="0"/>
              <w:ind w:left="360"/>
              <w:jc w:val="both"/>
              <w:rPr>
                <w:rFonts w:ascii="Arial" w:hAnsi="Arial" w:cs="Arial"/>
              </w:rPr>
            </w:pPr>
            <w:r w:rsidRPr="005539E3">
              <w:rPr>
                <w:rFonts w:ascii="Arial" w:hAnsi="Arial" w:cs="Arial"/>
                <w:b/>
              </w:rPr>
              <w:t xml:space="preserve">Proposed Effective Date:  </w:t>
            </w:r>
            <w:r w:rsidRPr="00B64A02">
              <w:rPr>
                <w:rFonts w:ascii="Arial" w:hAnsi="Arial" w:cs="Arial"/>
              </w:rPr>
              <w:t xml:space="preserve">Upon </w:t>
            </w:r>
            <w:r>
              <w:rPr>
                <w:rFonts w:ascii="Arial" w:hAnsi="Arial" w:cs="Arial"/>
              </w:rPr>
              <w:t>system implementation – Priority 2024; Rank 4090</w:t>
            </w:r>
          </w:p>
          <w:p w14:paraId="6651476F" w14:textId="5B23A92A" w:rsidR="007659A3" w:rsidRPr="005539E3" w:rsidRDefault="00AB7379" w:rsidP="00CE135F">
            <w:pPr>
              <w:pStyle w:val="BodyText"/>
              <w:spacing w:before="0" w:after="0"/>
              <w:ind w:left="360"/>
              <w:jc w:val="both"/>
              <w:rPr>
                <w:rFonts w:ascii="Arial" w:hAnsi="Arial" w:cs="Arial"/>
                <w:i/>
              </w:rPr>
            </w:pPr>
            <w:r w:rsidRPr="00AB7379">
              <w:rPr>
                <w:rFonts w:ascii="Arial" w:hAnsi="Arial" w:cs="Arial"/>
                <w:b/>
              </w:rPr>
              <w:t>Estimated Impacts</w:t>
            </w:r>
            <w:r w:rsidR="007659A3" w:rsidRPr="005539E3">
              <w:rPr>
                <w:rFonts w:ascii="Arial" w:hAnsi="Arial" w:cs="Arial"/>
                <w:b/>
              </w:rPr>
              <w:t xml:space="preserve">:  </w:t>
            </w:r>
            <w:r w:rsidR="007659A3" w:rsidRPr="007C2195">
              <w:rPr>
                <w:rFonts w:ascii="Arial" w:hAnsi="Arial" w:cs="Arial"/>
              </w:rPr>
              <w:t>Between $</w:t>
            </w:r>
            <w:r w:rsidR="007659A3">
              <w:rPr>
                <w:rFonts w:ascii="Arial" w:hAnsi="Arial" w:cs="Arial"/>
              </w:rPr>
              <w:t>40K</w:t>
            </w:r>
            <w:r w:rsidR="007659A3" w:rsidRPr="007C2195">
              <w:rPr>
                <w:rFonts w:ascii="Arial" w:hAnsi="Arial" w:cs="Arial"/>
              </w:rPr>
              <w:t xml:space="preserve"> and $</w:t>
            </w:r>
            <w:r w:rsidR="007659A3">
              <w:rPr>
                <w:rFonts w:ascii="Arial" w:hAnsi="Arial" w:cs="Arial"/>
              </w:rPr>
              <w:t>60K</w:t>
            </w:r>
          </w:p>
          <w:p w14:paraId="572E61B0" w14:textId="77777777" w:rsidR="007659A3" w:rsidRDefault="007659A3" w:rsidP="009D5805">
            <w:pPr>
              <w:ind w:left="360"/>
              <w:jc w:val="both"/>
              <w:rPr>
                <w:rFonts w:ascii="Arial" w:hAnsi="Arial" w:cs="Arial"/>
              </w:rPr>
            </w:pPr>
            <w:r w:rsidRPr="005539E3">
              <w:rPr>
                <w:rFonts w:ascii="Arial" w:hAnsi="Arial" w:cs="Arial"/>
                <w:b/>
              </w:rPr>
              <w:t xml:space="preserve">Revision Description:  </w:t>
            </w:r>
            <w:r w:rsidRPr="005539E3">
              <w:rPr>
                <w:rFonts w:ascii="Arial" w:hAnsi="Arial" w:cs="Arial"/>
              </w:rPr>
              <w:t xml:space="preserve">This </w:t>
            </w:r>
            <w:r>
              <w:rPr>
                <w:rFonts w:ascii="Arial" w:hAnsi="Arial" w:cs="Arial"/>
              </w:rPr>
              <w:t>NPRR</w:t>
            </w:r>
            <w:r>
              <w:t xml:space="preserve"> </w:t>
            </w:r>
            <w:r w:rsidRPr="0005777F">
              <w:rPr>
                <w:rFonts w:ascii="Arial" w:hAnsi="Arial" w:cs="Arial"/>
              </w:rPr>
              <w:t>creates a new daily report, the ERCOT Invoice Report, which lists the ERCOT Invoices issued for the current day and day prior at a Counter-Party level.</w:t>
            </w:r>
          </w:p>
          <w:p w14:paraId="123B50EF" w14:textId="70C539C0" w:rsidR="007659A3" w:rsidRDefault="007659A3" w:rsidP="00CE135F">
            <w:pPr>
              <w:ind w:left="360"/>
              <w:jc w:val="both"/>
              <w:rPr>
                <w:rFonts w:ascii="Arial" w:hAnsi="Arial" w:cs="Arial"/>
                <w:bCs/>
                <w:iCs/>
              </w:rPr>
            </w:pPr>
            <w:r>
              <w:rPr>
                <w:rFonts w:ascii="Arial" w:hAnsi="Arial" w:cs="Arial"/>
                <w:b/>
                <w:iCs/>
              </w:rPr>
              <w:t xml:space="preserve">TAC Decision:  </w:t>
            </w:r>
            <w:r w:rsidR="00AB7379" w:rsidRPr="00AB7379">
              <w:rPr>
                <w:rFonts w:ascii="Arial" w:hAnsi="Arial" w:cs="Arial"/>
                <w:bCs/>
                <w:iCs/>
              </w:rPr>
              <w:t>On 1/24/24, TAC voted unanimously to recommend approval of NPRR1208 as recommended by PRS in the 1/11/24 PRS Report.</w:t>
            </w:r>
            <w:r w:rsidR="00AB7379" w:rsidRPr="00AB7379">
              <w:rPr>
                <w:rFonts w:ascii="Arial" w:hAnsi="Arial" w:cs="Arial"/>
                <w:b/>
                <w:iCs/>
              </w:rPr>
              <w:t xml:space="preserve">  </w:t>
            </w:r>
          </w:p>
          <w:p w14:paraId="0D6B812A" w14:textId="59456453" w:rsidR="007659A3" w:rsidRPr="00F02C5B" w:rsidRDefault="007659A3" w:rsidP="00CE135F">
            <w:pPr>
              <w:ind w:left="360"/>
              <w:jc w:val="both"/>
              <w:rPr>
                <w:rFonts w:ascii="Arial" w:hAnsi="Arial" w:cs="Arial"/>
                <w:bCs/>
                <w:iCs/>
              </w:rPr>
            </w:pPr>
            <w:r w:rsidRPr="001F1D16">
              <w:rPr>
                <w:rFonts w:ascii="Arial" w:hAnsi="Arial" w:cs="Arial"/>
                <w:b/>
                <w:iCs/>
              </w:rPr>
              <w:t xml:space="preserve">ERCOT Market Impact Statement:  </w:t>
            </w:r>
            <w:r w:rsidR="00AB7379" w:rsidRPr="00AB7379">
              <w:rPr>
                <w:rFonts w:ascii="Arial" w:hAnsi="Arial" w:cs="Arial"/>
                <w:bCs/>
                <w:iCs/>
              </w:rPr>
              <w:t>ERCOT Staff has reviewed NPRR1208 and believes the market impact for NPRR1208 provides a consolidated view of Invoices which may reduce instances of late/missed payments by Market Participants and related collection activities at ERCOT.</w:t>
            </w:r>
          </w:p>
          <w:p w14:paraId="468595A0" w14:textId="77777777" w:rsidR="002B02D1" w:rsidRDefault="002B02D1" w:rsidP="00CE135F">
            <w:pPr>
              <w:ind w:left="360"/>
              <w:jc w:val="both"/>
              <w:rPr>
                <w:rFonts w:ascii="Arial" w:hAnsi="Arial" w:cs="Arial"/>
                <w:b/>
              </w:rPr>
            </w:pPr>
          </w:p>
          <w:p w14:paraId="1DC855FB" w14:textId="77777777" w:rsidR="009202E9" w:rsidRDefault="009202E9" w:rsidP="009D5805">
            <w:pPr>
              <w:numPr>
                <w:ilvl w:val="0"/>
                <w:numId w:val="23"/>
              </w:numPr>
              <w:jc w:val="both"/>
              <w:rPr>
                <w:rFonts w:ascii="Arial" w:hAnsi="Arial" w:cs="Arial"/>
                <w:b/>
                <w:i/>
              </w:rPr>
            </w:pPr>
            <w:r w:rsidRPr="00553BB5">
              <w:rPr>
                <w:rFonts w:ascii="Arial" w:hAnsi="Arial" w:cs="Arial"/>
                <w:b/>
                <w:i/>
              </w:rPr>
              <w:t>NPRR1210, Next Start Resource Test and Load-Carrying Test Frequency</w:t>
            </w:r>
          </w:p>
          <w:p w14:paraId="29974418" w14:textId="77777777" w:rsidR="009202E9" w:rsidRPr="005539E3" w:rsidRDefault="009202E9" w:rsidP="009D5805">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2B1C1241" w14:textId="77777777" w:rsidR="009202E9" w:rsidRPr="005539E3" w:rsidRDefault="009202E9" w:rsidP="00CE135F">
            <w:pPr>
              <w:pStyle w:val="BodyText"/>
              <w:spacing w:before="0" w:after="0"/>
              <w:ind w:left="360"/>
              <w:jc w:val="both"/>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 xml:space="preserve">The first of the month following PUCT </w:t>
            </w:r>
            <w:proofErr w:type="gramStart"/>
            <w:r>
              <w:rPr>
                <w:rFonts w:ascii="Arial" w:hAnsi="Arial" w:cs="Arial"/>
              </w:rPr>
              <w:t>approval</w:t>
            </w:r>
            <w:proofErr w:type="gramEnd"/>
          </w:p>
          <w:p w14:paraId="09F6C0CE" w14:textId="77777777" w:rsidR="005C3ABE" w:rsidRPr="005539E3" w:rsidRDefault="005C3ABE" w:rsidP="00CE135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No impact</w:t>
            </w:r>
          </w:p>
          <w:p w14:paraId="4A8D4DC8" w14:textId="77777777" w:rsidR="009202E9" w:rsidRPr="005539E3" w:rsidRDefault="009202E9" w:rsidP="009D5805">
            <w:pPr>
              <w:ind w:left="360"/>
              <w:jc w:val="both"/>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553BB5">
              <w:rPr>
                <w:rFonts w:ascii="Arial" w:hAnsi="Arial" w:cs="Arial"/>
              </w:rPr>
              <w:t>changes the frequency of the Next Start Resource Test and the Load-Carrying Test respectively from once every five years to once every four calendar years.</w:t>
            </w:r>
          </w:p>
          <w:p w14:paraId="51CDEB13" w14:textId="21AE9147" w:rsidR="00513026" w:rsidRDefault="00513026" w:rsidP="00CE135F">
            <w:pPr>
              <w:ind w:left="360"/>
              <w:jc w:val="both"/>
              <w:rPr>
                <w:rFonts w:ascii="Arial" w:hAnsi="Arial" w:cs="Arial"/>
                <w:b/>
              </w:rPr>
            </w:pPr>
            <w:r>
              <w:rPr>
                <w:rFonts w:ascii="Arial" w:hAnsi="Arial" w:cs="Arial"/>
                <w:b/>
              </w:rPr>
              <w:t xml:space="preserve">TAC Decision:  </w:t>
            </w:r>
            <w:r w:rsidR="005C3ABE">
              <w:rPr>
                <w:rFonts w:ascii="Arial" w:hAnsi="Arial" w:cs="Arial"/>
                <w:b/>
              </w:rPr>
              <w:t xml:space="preserve"> </w:t>
            </w:r>
            <w:r w:rsidR="005C3ABE" w:rsidRPr="005C3ABE">
              <w:rPr>
                <w:rFonts w:ascii="Arial" w:hAnsi="Arial" w:cs="Arial"/>
                <w:bCs/>
              </w:rPr>
              <w:t>On 2/14/24, TAC voted unanimously to recommend approval of NPRR1210 as recommended by PRS in the 2/8/24 PRS Report.</w:t>
            </w:r>
          </w:p>
          <w:p w14:paraId="63C019E8" w14:textId="4D591153" w:rsidR="00513026" w:rsidRDefault="00513026" w:rsidP="00CE135F">
            <w:pPr>
              <w:ind w:left="360"/>
              <w:jc w:val="both"/>
              <w:rPr>
                <w:rFonts w:ascii="Arial" w:hAnsi="Arial" w:cs="Arial"/>
                <w:bCs/>
              </w:rPr>
            </w:pPr>
            <w:r>
              <w:rPr>
                <w:rFonts w:ascii="Arial" w:hAnsi="Arial" w:cs="Arial"/>
                <w:b/>
              </w:rPr>
              <w:t xml:space="preserve">ERCOT Market Impact Statement:  </w:t>
            </w:r>
            <w:r w:rsidR="005C3ABE" w:rsidRPr="005C3ABE">
              <w:rPr>
                <w:rFonts w:ascii="Arial" w:hAnsi="Arial" w:cs="Arial"/>
                <w:bCs/>
              </w:rPr>
              <w:t xml:space="preserve">ERCOT Staff has reviewed NPRR1210 and believes it has a positive market impact by providing flexibility and consistency within the </w:t>
            </w:r>
            <w:r w:rsidR="00807A4F">
              <w:rPr>
                <w:rFonts w:ascii="Arial" w:hAnsi="Arial" w:cs="Arial"/>
                <w:bCs/>
              </w:rPr>
              <w:t xml:space="preserve">North American </w:t>
            </w:r>
            <w:r w:rsidR="0078644C">
              <w:rPr>
                <w:rFonts w:ascii="Arial" w:hAnsi="Arial" w:cs="Arial"/>
                <w:bCs/>
              </w:rPr>
              <w:t xml:space="preserve">Electric </w:t>
            </w:r>
            <w:r w:rsidR="00807A4F">
              <w:rPr>
                <w:rFonts w:ascii="Arial" w:hAnsi="Arial" w:cs="Arial"/>
                <w:bCs/>
              </w:rPr>
              <w:t>Reliability Corporation (</w:t>
            </w:r>
            <w:r w:rsidR="005C3ABE" w:rsidRPr="005C3ABE">
              <w:rPr>
                <w:rFonts w:ascii="Arial" w:hAnsi="Arial" w:cs="Arial"/>
                <w:bCs/>
              </w:rPr>
              <w:t>NERC</w:t>
            </w:r>
            <w:r w:rsidR="00807A4F">
              <w:rPr>
                <w:rFonts w:ascii="Arial" w:hAnsi="Arial" w:cs="Arial"/>
                <w:bCs/>
              </w:rPr>
              <w:t>)</w:t>
            </w:r>
            <w:r w:rsidR="005C3ABE" w:rsidRPr="005C3ABE">
              <w:rPr>
                <w:rFonts w:ascii="Arial" w:hAnsi="Arial" w:cs="Arial"/>
                <w:bCs/>
              </w:rPr>
              <w:t>-required testing time frame, while reducing complexity and potential risks associated with managing different testing frequencies and issues related to the time of year in which a deadline may fall.</w:t>
            </w:r>
          </w:p>
          <w:p w14:paraId="32C865DA" w14:textId="4CF83B47" w:rsidR="00513026" w:rsidRDefault="00513026" w:rsidP="00CE135F">
            <w:pPr>
              <w:ind w:left="360"/>
              <w:jc w:val="both"/>
              <w:rPr>
                <w:rFonts w:ascii="Arial" w:hAnsi="Arial" w:cs="Arial"/>
                <w:bCs/>
              </w:rPr>
            </w:pPr>
          </w:p>
          <w:p w14:paraId="07C5A757" w14:textId="77777777" w:rsidR="007659A3" w:rsidRDefault="007659A3" w:rsidP="009D5805">
            <w:pPr>
              <w:numPr>
                <w:ilvl w:val="0"/>
                <w:numId w:val="23"/>
              </w:numPr>
              <w:jc w:val="both"/>
              <w:rPr>
                <w:rFonts w:ascii="Arial" w:hAnsi="Arial" w:cs="Arial"/>
                <w:b/>
                <w:i/>
              </w:rPr>
            </w:pPr>
            <w:r w:rsidRPr="002A5B66">
              <w:rPr>
                <w:rFonts w:ascii="Arial" w:hAnsi="Arial" w:cs="Arial"/>
                <w:b/>
                <w:i/>
              </w:rPr>
              <w:t>NPRR1</w:t>
            </w:r>
            <w:r>
              <w:rPr>
                <w:rFonts w:ascii="Arial" w:hAnsi="Arial" w:cs="Arial"/>
                <w:b/>
                <w:i/>
              </w:rPr>
              <w:t>211</w:t>
            </w:r>
            <w:r w:rsidRPr="002A5B66">
              <w:rPr>
                <w:rFonts w:ascii="Arial" w:hAnsi="Arial" w:cs="Arial"/>
                <w:b/>
                <w:i/>
              </w:rPr>
              <w:t xml:space="preserve">, </w:t>
            </w:r>
            <w:r w:rsidRPr="0034534B">
              <w:rPr>
                <w:rFonts w:ascii="Arial" w:hAnsi="Arial" w:cs="Arial"/>
                <w:b/>
                <w:i/>
              </w:rPr>
              <w:t>Move OBD to Section 22 – Methodology for Setting Maximum Shadow Prices for Network and Power Balance Constraints</w:t>
            </w:r>
          </w:p>
          <w:p w14:paraId="44B17BF0" w14:textId="77777777" w:rsidR="007659A3" w:rsidRPr="005539E3" w:rsidRDefault="007659A3" w:rsidP="009D5805">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67EC7D07" w14:textId="77777777" w:rsidR="007659A3" w:rsidRPr="005539E3" w:rsidRDefault="007659A3" w:rsidP="00CE135F">
            <w:pPr>
              <w:pStyle w:val="BodyText"/>
              <w:spacing w:before="0" w:after="0"/>
              <w:ind w:left="360"/>
              <w:jc w:val="both"/>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 xml:space="preserve">Upon system </w:t>
            </w:r>
            <w:proofErr w:type="gramStart"/>
            <w:r>
              <w:rPr>
                <w:rFonts w:ascii="Arial" w:hAnsi="Arial" w:cs="Arial"/>
              </w:rPr>
              <w:t>implementation</w:t>
            </w:r>
            <w:proofErr w:type="gramEnd"/>
          </w:p>
          <w:p w14:paraId="40873D5E" w14:textId="77777777" w:rsidR="00AB7379" w:rsidRDefault="00AB7379" w:rsidP="009D5805">
            <w:pPr>
              <w:ind w:left="360"/>
              <w:jc w:val="both"/>
              <w:rPr>
                <w:rFonts w:ascii="Arial" w:hAnsi="Arial" w:cs="Arial"/>
                <w:b/>
                <w:iCs/>
                <w:szCs w:val="20"/>
              </w:rPr>
            </w:pPr>
            <w:r w:rsidRPr="00AB7379">
              <w:rPr>
                <w:rFonts w:ascii="Arial" w:hAnsi="Arial" w:cs="Arial"/>
                <w:b/>
                <w:iCs/>
                <w:szCs w:val="20"/>
              </w:rPr>
              <w:t xml:space="preserve">Estimated Impacts:   </w:t>
            </w:r>
            <w:r w:rsidRPr="00AB7379">
              <w:rPr>
                <w:rFonts w:ascii="Arial" w:hAnsi="Arial" w:cs="Arial"/>
                <w:bCs/>
                <w:iCs/>
                <w:szCs w:val="20"/>
              </w:rPr>
              <w:t>Less than $5K (O&amp;M)</w:t>
            </w:r>
          </w:p>
          <w:p w14:paraId="7642B1BE" w14:textId="3F5BD1AA" w:rsidR="007659A3" w:rsidRPr="005539E3" w:rsidRDefault="007659A3" w:rsidP="009D5805">
            <w:pPr>
              <w:ind w:left="360"/>
              <w:jc w:val="both"/>
              <w:rPr>
                <w:rFonts w:ascii="Arial" w:hAnsi="Arial" w:cs="Arial"/>
              </w:rPr>
            </w:pPr>
            <w:r w:rsidRPr="005539E3">
              <w:rPr>
                <w:rFonts w:ascii="Arial" w:hAnsi="Arial" w:cs="Arial"/>
                <w:b/>
              </w:rPr>
              <w:t xml:space="preserve">Revision Description:  </w:t>
            </w:r>
            <w:r w:rsidRPr="005539E3">
              <w:rPr>
                <w:rFonts w:ascii="Arial" w:hAnsi="Arial" w:cs="Arial"/>
              </w:rPr>
              <w:t>This NPRR</w:t>
            </w:r>
            <w:r>
              <w:t xml:space="preserve"> </w:t>
            </w:r>
            <w:r w:rsidRPr="0034534B">
              <w:rPr>
                <w:rFonts w:ascii="Arial" w:hAnsi="Arial" w:cs="Arial"/>
              </w:rPr>
              <w:t>incorporates the Other Binding Document “Methodology for Setting Maximum Shadow Prices for Network and Power Balance Constraints” into the Protocols.</w:t>
            </w:r>
          </w:p>
          <w:p w14:paraId="1C3026AA" w14:textId="31E9CBC1" w:rsidR="007659A3" w:rsidRPr="00AB7379" w:rsidRDefault="007659A3" w:rsidP="00CE135F">
            <w:pPr>
              <w:ind w:left="360"/>
              <w:jc w:val="both"/>
              <w:rPr>
                <w:rFonts w:ascii="Arial" w:hAnsi="Arial" w:cs="Arial"/>
                <w:bCs/>
              </w:rPr>
            </w:pPr>
            <w:r>
              <w:rPr>
                <w:rFonts w:ascii="Arial" w:hAnsi="Arial" w:cs="Arial"/>
                <w:b/>
              </w:rPr>
              <w:t xml:space="preserve">TAC Decision:  </w:t>
            </w:r>
            <w:r w:rsidR="00AB7379" w:rsidRPr="00AB7379">
              <w:rPr>
                <w:rFonts w:ascii="Arial" w:hAnsi="Arial" w:cs="Arial"/>
                <w:bCs/>
              </w:rPr>
              <w:t xml:space="preserve">On 1/24/24, TAC voted unanimously to recommend approval of NPRR1211 as recommended by PRS in the 1/11/24 PRS Report.  </w:t>
            </w:r>
          </w:p>
          <w:p w14:paraId="7E4819BA" w14:textId="6C30368B" w:rsidR="007659A3" w:rsidRDefault="007659A3" w:rsidP="00CE135F">
            <w:pPr>
              <w:ind w:left="360"/>
              <w:jc w:val="both"/>
              <w:rPr>
                <w:rFonts w:ascii="Arial" w:hAnsi="Arial" w:cs="Arial"/>
                <w:bCs/>
              </w:rPr>
            </w:pPr>
            <w:r>
              <w:rPr>
                <w:rFonts w:ascii="Arial" w:hAnsi="Arial" w:cs="Arial"/>
                <w:b/>
              </w:rPr>
              <w:lastRenderedPageBreak/>
              <w:t xml:space="preserve">ERCOT Market Impact Statement:  </w:t>
            </w:r>
            <w:r w:rsidR="00AB7379" w:rsidRPr="00AB7379">
              <w:rPr>
                <w:rFonts w:ascii="Arial" w:hAnsi="Arial" w:cs="Arial"/>
                <w:bCs/>
              </w:rPr>
              <w:t>ERCOT Staff has reviewed NPRR1211 and believes it has a positive market impact by standardizing the approval process for binding language.</w:t>
            </w:r>
          </w:p>
          <w:p w14:paraId="2082B5D5" w14:textId="77777777" w:rsidR="007659A3" w:rsidRDefault="007659A3" w:rsidP="00CE135F">
            <w:pPr>
              <w:jc w:val="both"/>
              <w:rPr>
                <w:rFonts w:ascii="Arial" w:hAnsi="Arial" w:cs="Arial"/>
                <w:bCs/>
              </w:rPr>
            </w:pPr>
          </w:p>
          <w:p w14:paraId="26544DC8" w14:textId="77777777" w:rsidR="007659A3" w:rsidRPr="00DB2731" w:rsidRDefault="007659A3" w:rsidP="009D5805">
            <w:pPr>
              <w:numPr>
                <w:ilvl w:val="0"/>
                <w:numId w:val="23"/>
              </w:numPr>
              <w:jc w:val="both"/>
              <w:rPr>
                <w:rFonts w:ascii="Arial" w:hAnsi="Arial" w:cs="Arial"/>
                <w:bCs/>
                <w:iCs/>
              </w:rPr>
            </w:pPr>
            <w:r w:rsidRPr="00DB2731">
              <w:rPr>
                <w:rFonts w:ascii="Arial" w:hAnsi="Arial" w:cs="Arial"/>
                <w:b/>
                <w:i/>
              </w:rPr>
              <w:t>NPRR1</w:t>
            </w:r>
            <w:r>
              <w:rPr>
                <w:rFonts w:ascii="Arial" w:hAnsi="Arial" w:cs="Arial"/>
                <w:b/>
                <w:i/>
              </w:rPr>
              <w:t xml:space="preserve">213, </w:t>
            </w:r>
            <w:r w:rsidRPr="00406301">
              <w:rPr>
                <w:rFonts w:ascii="Arial" w:hAnsi="Arial" w:cs="Arial"/>
                <w:b/>
                <w:i/>
              </w:rPr>
              <w:t>Allow DGRs and DESRs on Circuits Subject to Load Shed to Provide ECRS and Clarify Language Regarding DGRs and DESRs Providing Non-Spin</w:t>
            </w:r>
          </w:p>
          <w:p w14:paraId="0B38C834" w14:textId="77777777" w:rsidR="007659A3" w:rsidRPr="00553BB5" w:rsidRDefault="007659A3" w:rsidP="009D5805">
            <w:pPr>
              <w:ind w:left="360"/>
              <w:jc w:val="both"/>
              <w:rPr>
                <w:rFonts w:ascii="Arial" w:hAnsi="Arial" w:cs="Arial"/>
                <w:bCs/>
                <w:iCs/>
              </w:rPr>
            </w:pPr>
            <w:r w:rsidRPr="00DB2731">
              <w:rPr>
                <w:rFonts w:ascii="Arial" w:hAnsi="Arial" w:cs="Arial"/>
                <w:b/>
                <w:iCs/>
              </w:rPr>
              <w:t>Sponsor:</w:t>
            </w:r>
            <w:r w:rsidRPr="00553BB5">
              <w:rPr>
                <w:rFonts w:ascii="Arial" w:hAnsi="Arial" w:cs="Arial"/>
                <w:bCs/>
                <w:iCs/>
              </w:rPr>
              <w:t xml:space="preserve">  Enchanted Rock</w:t>
            </w:r>
          </w:p>
          <w:p w14:paraId="1C651E80" w14:textId="77777777" w:rsidR="007659A3" w:rsidRPr="005539E3" w:rsidRDefault="007659A3" w:rsidP="00CE135F">
            <w:pPr>
              <w:pStyle w:val="BodyText"/>
              <w:spacing w:before="0" w:after="0"/>
              <w:ind w:left="360"/>
              <w:jc w:val="both"/>
              <w:rPr>
                <w:rFonts w:ascii="Arial" w:hAnsi="Arial" w:cs="Arial"/>
              </w:rPr>
            </w:pPr>
            <w:r w:rsidRPr="005539E3">
              <w:rPr>
                <w:rFonts w:ascii="Arial" w:hAnsi="Arial" w:cs="Arial"/>
                <w:b/>
              </w:rPr>
              <w:t xml:space="preserve">Proposed Effective Date:  </w:t>
            </w:r>
            <w:r w:rsidRPr="00B64A02">
              <w:rPr>
                <w:rFonts w:ascii="Arial" w:hAnsi="Arial" w:cs="Arial"/>
              </w:rPr>
              <w:t xml:space="preserve">Upon </w:t>
            </w:r>
            <w:r>
              <w:rPr>
                <w:rFonts w:ascii="Arial" w:hAnsi="Arial" w:cs="Arial"/>
              </w:rPr>
              <w:t xml:space="preserve">system implementation – Priority 2024; Rank 4050; and upon system implementation of NPRR1171, </w:t>
            </w:r>
            <w:r w:rsidRPr="00553BB5">
              <w:rPr>
                <w:rFonts w:ascii="Arial" w:hAnsi="Arial" w:cs="Arial"/>
              </w:rPr>
              <w:t>Requirements for DGRs and DESRs on Circuits Subject to Load Shedding</w:t>
            </w:r>
          </w:p>
          <w:p w14:paraId="6E4FE366" w14:textId="71F13865" w:rsidR="007659A3" w:rsidRPr="005539E3" w:rsidRDefault="00AB7379" w:rsidP="00CE135F">
            <w:pPr>
              <w:pStyle w:val="BodyText"/>
              <w:spacing w:before="0" w:after="0"/>
              <w:ind w:left="360"/>
              <w:jc w:val="both"/>
              <w:rPr>
                <w:rFonts w:ascii="Arial" w:hAnsi="Arial" w:cs="Arial"/>
                <w:i/>
              </w:rPr>
            </w:pPr>
            <w:r w:rsidRPr="00AB7379">
              <w:rPr>
                <w:rFonts w:ascii="Arial" w:hAnsi="Arial" w:cs="Arial"/>
                <w:b/>
              </w:rPr>
              <w:t xml:space="preserve">Estimated Impacts:  </w:t>
            </w:r>
            <w:r w:rsidR="007659A3" w:rsidRPr="007C2195">
              <w:rPr>
                <w:rFonts w:ascii="Arial" w:hAnsi="Arial" w:cs="Arial"/>
              </w:rPr>
              <w:t>Between $</w:t>
            </w:r>
            <w:r w:rsidR="007659A3">
              <w:rPr>
                <w:rFonts w:ascii="Arial" w:hAnsi="Arial" w:cs="Arial"/>
              </w:rPr>
              <w:t>350K</w:t>
            </w:r>
            <w:r w:rsidR="007659A3" w:rsidRPr="007C2195">
              <w:rPr>
                <w:rFonts w:ascii="Arial" w:hAnsi="Arial" w:cs="Arial"/>
              </w:rPr>
              <w:t xml:space="preserve"> and $</w:t>
            </w:r>
            <w:r w:rsidR="007659A3">
              <w:rPr>
                <w:rFonts w:ascii="Arial" w:hAnsi="Arial" w:cs="Arial"/>
              </w:rPr>
              <w:t>450K</w:t>
            </w:r>
          </w:p>
          <w:p w14:paraId="09D3A42A" w14:textId="77777777" w:rsidR="007659A3" w:rsidRDefault="007659A3" w:rsidP="009D5805">
            <w:pPr>
              <w:ind w:left="360"/>
              <w:jc w:val="both"/>
              <w:rPr>
                <w:rFonts w:ascii="Arial" w:hAnsi="Arial" w:cs="Arial"/>
              </w:rPr>
            </w:pPr>
            <w:r w:rsidRPr="005539E3">
              <w:rPr>
                <w:rFonts w:ascii="Arial" w:hAnsi="Arial" w:cs="Arial"/>
                <w:b/>
              </w:rPr>
              <w:t xml:space="preserve">Revision Description:  </w:t>
            </w:r>
            <w:r w:rsidRPr="005539E3">
              <w:rPr>
                <w:rFonts w:ascii="Arial" w:hAnsi="Arial" w:cs="Arial"/>
              </w:rPr>
              <w:t xml:space="preserve">This </w:t>
            </w:r>
            <w:r>
              <w:rPr>
                <w:rFonts w:ascii="Arial" w:hAnsi="Arial" w:cs="Arial"/>
              </w:rPr>
              <w:t>NPRR</w:t>
            </w:r>
            <w:r w:rsidRPr="00406301">
              <w:rPr>
                <w:rFonts w:ascii="Arial" w:hAnsi="Arial" w:cs="Arial"/>
              </w:rPr>
              <w:t xml:space="preserve"> amends requirements for Distribution Generation Resources (DGRs) and Distribution Energy Storage Resources (DESRs) that are seeking qualification to provide ERCOT Contingency Reserve Service (ECRS).  This NPRR also modifies requirements for Ancillary Service self-arrangement and Ancillary Service Trades for DGRs and DESRs on circuits subject to Load shed that provide Non-Spinning Reserve (Non-Spin).</w:t>
            </w:r>
          </w:p>
          <w:p w14:paraId="3EC2ABC3" w14:textId="2B8FCD57" w:rsidR="00513026" w:rsidRDefault="00513026" w:rsidP="00CE135F">
            <w:pPr>
              <w:ind w:left="360"/>
              <w:jc w:val="both"/>
              <w:rPr>
                <w:rFonts w:ascii="Arial" w:hAnsi="Arial" w:cs="Arial"/>
                <w:b/>
              </w:rPr>
            </w:pPr>
            <w:r>
              <w:rPr>
                <w:rFonts w:ascii="Arial" w:hAnsi="Arial" w:cs="Arial"/>
                <w:b/>
              </w:rPr>
              <w:t xml:space="preserve">TAC Decision:  </w:t>
            </w:r>
            <w:r w:rsidR="005C3ABE">
              <w:rPr>
                <w:rFonts w:ascii="Arial" w:hAnsi="Arial" w:cs="Arial"/>
                <w:b/>
              </w:rPr>
              <w:t xml:space="preserve"> </w:t>
            </w:r>
            <w:r w:rsidR="005C3ABE" w:rsidRPr="005C3ABE">
              <w:rPr>
                <w:rFonts w:ascii="Arial" w:hAnsi="Arial" w:cs="Arial"/>
                <w:bCs/>
              </w:rPr>
              <w:t>On 2/14/24, TAC voted unanimously to recommend approval of NPRR1213 as recommended by PRS in the 2/8/24 PRS Report; and the 2/12/24 Revised Impact Analysis</w:t>
            </w:r>
            <w:r w:rsidR="005C3ABE">
              <w:rPr>
                <w:rFonts w:ascii="Arial" w:hAnsi="Arial" w:cs="Arial"/>
                <w:bCs/>
              </w:rPr>
              <w:t>.</w:t>
            </w:r>
          </w:p>
          <w:p w14:paraId="4D442DEF" w14:textId="4EE107B7" w:rsidR="00513026" w:rsidRDefault="00513026" w:rsidP="00CE135F">
            <w:pPr>
              <w:ind w:left="360"/>
              <w:jc w:val="both"/>
              <w:rPr>
                <w:rFonts w:ascii="Arial" w:hAnsi="Arial" w:cs="Arial"/>
                <w:bCs/>
              </w:rPr>
            </w:pPr>
            <w:r>
              <w:rPr>
                <w:rFonts w:ascii="Arial" w:hAnsi="Arial" w:cs="Arial"/>
                <w:b/>
              </w:rPr>
              <w:t xml:space="preserve">ERCOT Market Impact Statement:  </w:t>
            </w:r>
            <w:r w:rsidR="005C3ABE" w:rsidRPr="005C3ABE">
              <w:rPr>
                <w:rFonts w:ascii="Arial" w:hAnsi="Arial" w:cs="Arial"/>
                <w:bCs/>
              </w:rPr>
              <w:t>ERCOT Staff has reviewed NPRR1213 and believes it supplements NPRR1171 in identifying an additional Ancillary Service, namely ECRS, that can be provided by DGRs and DESRs on feeders subject to Load shedding.</w:t>
            </w:r>
          </w:p>
          <w:p w14:paraId="4A7CB372" w14:textId="77777777" w:rsidR="001376A6" w:rsidRDefault="001376A6" w:rsidP="00CE135F">
            <w:pPr>
              <w:ind w:left="360"/>
              <w:jc w:val="both"/>
              <w:rPr>
                <w:rFonts w:ascii="Arial" w:hAnsi="Arial" w:cs="Arial"/>
                <w:b/>
                <w:iCs/>
              </w:rPr>
            </w:pPr>
          </w:p>
          <w:p w14:paraId="20B36C32" w14:textId="225650D2" w:rsidR="001376A6" w:rsidRPr="00DB2731" w:rsidRDefault="001376A6" w:rsidP="009D5805">
            <w:pPr>
              <w:numPr>
                <w:ilvl w:val="0"/>
                <w:numId w:val="23"/>
              </w:numPr>
              <w:jc w:val="both"/>
              <w:rPr>
                <w:rFonts w:ascii="Arial" w:hAnsi="Arial" w:cs="Arial"/>
                <w:bCs/>
                <w:iCs/>
              </w:rPr>
            </w:pPr>
            <w:r>
              <w:rPr>
                <w:rFonts w:ascii="Arial" w:hAnsi="Arial" w:cs="Arial"/>
                <w:b/>
                <w:i/>
              </w:rPr>
              <w:t>LPGRR</w:t>
            </w:r>
            <w:proofErr w:type="gramStart"/>
            <w:r>
              <w:rPr>
                <w:rFonts w:ascii="Arial" w:hAnsi="Arial" w:cs="Arial"/>
                <w:b/>
                <w:i/>
              </w:rPr>
              <w:t xml:space="preserve">074, </w:t>
            </w:r>
            <w:r w:rsidR="002A76E1">
              <w:t xml:space="preserve"> </w:t>
            </w:r>
            <w:r w:rsidR="002A76E1" w:rsidRPr="002A76E1">
              <w:rPr>
                <w:rFonts w:ascii="Arial" w:hAnsi="Arial" w:cs="Arial"/>
                <w:b/>
                <w:i/>
              </w:rPr>
              <w:t>Align</w:t>
            </w:r>
            <w:proofErr w:type="gramEnd"/>
            <w:r w:rsidR="002A76E1" w:rsidRPr="002A76E1">
              <w:rPr>
                <w:rFonts w:ascii="Arial" w:hAnsi="Arial" w:cs="Arial"/>
                <w:b/>
                <w:i/>
              </w:rPr>
              <w:t xml:space="preserve"> Definitions of IDRRQ, LRG, and LRGDG</w:t>
            </w:r>
          </w:p>
          <w:p w14:paraId="1E4A86BF" w14:textId="50A3B945" w:rsidR="001376A6" w:rsidRPr="002A76E1" w:rsidRDefault="001376A6" w:rsidP="009D5805">
            <w:pPr>
              <w:ind w:left="360"/>
              <w:jc w:val="both"/>
              <w:rPr>
                <w:rFonts w:ascii="Arial" w:hAnsi="Arial" w:cs="Arial"/>
                <w:bCs/>
                <w:iCs/>
              </w:rPr>
            </w:pPr>
            <w:r w:rsidRPr="00DB2731">
              <w:rPr>
                <w:rFonts w:ascii="Arial" w:hAnsi="Arial" w:cs="Arial"/>
                <w:b/>
                <w:iCs/>
              </w:rPr>
              <w:t xml:space="preserve">Sponsor:  </w:t>
            </w:r>
            <w:r w:rsidR="002A76E1" w:rsidRPr="002A76E1">
              <w:rPr>
                <w:rFonts w:ascii="Arial" w:hAnsi="Arial" w:cs="Arial"/>
                <w:bCs/>
                <w:iCs/>
              </w:rPr>
              <w:t>Profiling Working Group (PWG)</w:t>
            </w:r>
          </w:p>
          <w:p w14:paraId="2C1FFE6E" w14:textId="13EF2AB7" w:rsidR="001376A6" w:rsidRPr="005539E3" w:rsidRDefault="001376A6" w:rsidP="00CE135F">
            <w:pPr>
              <w:pStyle w:val="BodyText"/>
              <w:spacing w:before="0" w:after="0"/>
              <w:ind w:left="360"/>
              <w:jc w:val="both"/>
              <w:rPr>
                <w:rFonts w:ascii="Arial" w:hAnsi="Arial" w:cs="Arial"/>
              </w:rPr>
            </w:pPr>
            <w:r w:rsidRPr="005539E3">
              <w:rPr>
                <w:rFonts w:ascii="Arial" w:hAnsi="Arial" w:cs="Arial"/>
                <w:b/>
              </w:rPr>
              <w:t xml:space="preserve">Proposed Effective Date:  </w:t>
            </w:r>
            <w:r w:rsidR="002A76E1" w:rsidRPr="002A76E1">
              <w:rPr>
                <w:rFonts w:ascii="Arial" w:hAnsi="Arial" w:cs="Arial"/>
                <w:bCs/>
              </w:rPr>
              <w:t xml:space="preserve">First of the month following PUCT </w:t>
            </w:r>
            <w:proofErr w:type="gramStart"/>
            <w:r w:rsidR="002A76E1" w:rsidRPr="002A76E1">
              <w:rPr>
                <w:rFonts w:ascii="Arial" w:hAnsi="Arial" w:cs="Arial"/>
                <w:bCs/>
              </w:rPr>
              <w:t>approval</w:t>
            </w:r>
            <w:proofErr w:type="gramEnd"/>
          </w:p>
          <w:p w14:paraId="1F94FABC" w14:textId="77777777" w:rsidR="002A76E1" w:rsidRPr="005539E3" w:rsidRDefault="002A76E1" w:rsidP="00CE135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No impact</w:t>
            </w:r>
          </w:p>
          <w:p w14:paraId="118AF1F3" w14:textId="4A6B1C93" w:rsidR="001376A6" w:rsidRDefault="001376A6" w:rsidP="009D5805">
            <w:pPr>
              <w:ind w:left="360"/>
              <w:jc w:val="both"/>
              <w:rPr>
                <w:rFonts w:ascii="Arial" w:hAnsi="Arial" w:cs="Arial"/>
              </w:rPr>
            </w:pPr>
            <w:r w:rsidRPr="005539E3">
              <w:rPr>
                <w:rFonts w:ascii="Arial" w:hAnsi="Arial" w:cs="Arial"/>
                <w:b/>
              </w:rPr>
              <w:t xml:space="preserve">Revision Description:  </w:t>
            </w:r>
            <w:r w:rsidR="002A76E1" w:rsidRPr="002A76E1">
              <w:rPr>
                <w:rFonts w:ascii="Arial" w:hAnsi="Arial" w:cs="Arial"/>
                <w:bCs/>
              </w:rPr>
              <w:t xml:space="preserve">This </w:t>
            </w:r>
            <w:r w:rsidR="00807A4F">
              <w:rPr>
                <w:rFonts w:ascii="Arial" w:hAnsi="Arial" w:cs="Arial"/>
                <w:bCs/>
              </w:rPr>
              <w:t>LPGRR</w:t>
            </w:r>
            <w:r w:rsidR="002A76E1" w:rsidRPr="002A76E1">
              <w:rPr>
                <w:rFonts w:ascii="Arial" w:hAnsi="Arial" w:cs="Arial"/>
                <w:bCs/>
              </w:rPr>
              <w:t xml:space="preserve"> aligns IDRRQ, LRG, and LRGDG term language in the Profile Decision Tree “Definitions” worksheet with Profile Segment language that was added to the “Segment Assignment” worksheet upon the PUCT’s approval of LPGRR069, Add Lubbock Zip Codes and Clarify BUSIDRRQ/BUSLRG (DG) Assignments.</w:t>
            </w:r>
          </w:p>
          <w:p w14:paraId="1A70B95E" w14:textId="37FABF6B" w:rsidR="001376A6" w:rsidRDefault="001376A6" w:rsidP="00CE135F">
            <w:pPr>
              <w:ind w:left="360"/>
              <w:jc w:val="both"/>
              <w:rPr>
                <w:rFonts w:ascii="Arial" w:hAnsi="Arial" w:cs="Arial"/>
                <w:b/>
              </w:rPr>
            </w:pPr>
            <w:r>
              <w:rPr>
                <w:rFonts w:ascii="Arial" w:hAnsi="Arial" w:cs="Arial"/>
                <w:b/>
              </w:rPr>
              <w:t xml:space="preserve">TAC Decision:  </w:t>
            </w:r>
            <w:r w:rsidR="002A76E1" w:rsidRPr="002A76E1">
              <w:rPr>
                <w:rFonts w:ascii="Arial" w:hAnsi="Arial" w:cs="Arial"/>
                <w:bCs/>
              </w:rPr>
              <w:t xml:space="preserve">On 2/14/24, TAC voted unanimously to recommend approval of </w:t>
            </w:r>
            <w:r w:rsidR="002A76E1">
              <w:rPr>
                <w:rFonts w:ascii="Arial" w:hAnsi="Arial" w:cs="Arial"/>
                <w:bCs/>
              </w:rPr>
              <w:t>LPGRR074</w:t>
            </w:r>
            <w:r w:rsidR="002A76E1" w:rsidRPr="002A76E1">
              <w:rPr>
                <w:rFonts w:ascii="Arial" w:hAnsi="Arial" w:cs="Arial"/>
                <w:bCs/>
              </w:rPr>
              <w:t xml:space="preserve"> as recommended by </w:t>
            </w:r>
            <w:r w:rsidR="002A76E1">
              <w:rPr>
                <w:rFonts w:ascii="Arial" w:hAnsi="Arial" w:cs="Arial"/>
                <w:bCs/>
              </w:rPr>
              <w:t>RMS</w:t>
            </w:r>
            <w:r w:rsidR="002A76E1" w:rsidRPr="002A76E1">
              <w:rPr>
                <w:rFonts w:ascii="Arial" w:hAnsi="Arial" w:cs="Arial"/>
                <w:bCs/>
              </w:rPr>
              <w:t xml:space="preserve"> in the </w:t>
            </w:r>
            <w:r w:rsidR="002A76E1">
              <w:rPr>
                <w:rFonts w:ascii="Arial" w:hAnsi="Arial" w:cs="Arial"/>
                <w:bCs/>
              </w:rPr>
              <w:t>2/6/24 RMS</w:t>
            </w:r>
            <w:r w:rsidR="002A76E1" w:rsidRPr="002A76E1">
              <w:rPr>
                <w:rFonts w:ascii="Arial" w:hAnsi="Arial" w:cs="Arial"/>
                <w:bCs/>
              </w:rPr>
              <w:t xml:space="preserve"> Report.</w:t>
            </w:r>
          </w:p>
          <w:p w14:paraId="71840690" w14:textId="1D66AB59" w:rsidR="001376A6" w:rsidRDefault="001376A6" w:rsidP="00CE135F">
            <w:pPr>
              <w:ind w:left="360"/>
              <w:jc w:val="both"/>
              <w:rPr>
                <w:rFonts w:ascii="Arial" w:hAnsi="Arial" w:cs="Arial"/>
                <w:bCs/>
              </w:rPr>
            </w:pPr>
            <w:r>
              <w:rPr>
                <w:rFonts w:ascii="Arial" w:hAnsi="Arial" w:cs="Arial"/>
                <w:b/>
              </w:rPr>
              <w:t xml:space="preserve">ERCOT Market Impact Statement:  </w:t>
            </w:r>
            <w:r w:rsidR="002A76E1" w:rsidRPr="002A76E1">
              <w:rPr>
                <w:rFonts w:ascii="Arial" w:hAnsi="Arial" w:cs="Arial"/>
                <w:bCs/>
              </w:rPr>
              <w:t>ERCOT Staff has reviewed LPGRR074 and believes that it provides a positive market impact by offering general system and/or process improvement(s) by aligning IDRRQ, LRG, and LRGDG term language in the Profile Decision Tree with Profile Segment language that was added upon the PUCT’s approval of LPGRR069.</w:t>
            </w:r>
          </w:p>
          <w:p w14:paraId="0099A09E" w14:textId="77777777" w:rsidR="001376A6" w:rsidRPr="00F02C5B" w:rsidRDefault="001376A6" w:rsidP="00CE135F">
            <w:pPr>
              <w:ind w:left="360"/>
              <w:jc w:val="both"/>
              <w:rPr>
                <w:rFonts w:ascii="Arial" w:hAnsi="Arial" w:cs="Arial"/>
                <w:bCs/>
                <w:iCs/>
              </w:rPr>
            </w:pPr>
          </w:p>
          <w:p w14:paraId="302F59D2" w14:textId="2ED26C15" w:rsidR="001376A6" w:rsidRPr="00DB2731" w:rsidRDefault="001376A6" w:rsidP="009D5805">
            <w:pPr>
              <w:numPr>
                <w:ilvl w:val="0"/>
                <w:numId w:val="23"/>
              </w:numPr>
              <w:jc w:val="both"/>
              <w:rPr>
                <w:rFonts w:ascii="Arial" w:hAnsi="Arial" w:cs="Arial"/>
                <w:bCs/>
                <w:iCs/>
              </w:rPr>
            </w:pPr>
            <w:r>
              <w:rPr>
                <w:rFonts w:ascii="Arial" w:hAnsi="Arial" w:cs="Arial"/>
                <w:b/>
                <w:i/>
              </w:rPr>
              <w:t>NOGRR261,</w:t>
            </w:r>
            <w:r w:rsidR="002A76E1">
              <w:t xml:space="preserve"> </w:t>
            </w:r>
            <w:r w:rsidR="002A76E1" w:rsidRPr="002A76E1">
              <w:rPr>
                <w:rFonts w:ascii="Arial" w:hAnsi="Arial" w:cs="Arial"/>
                <w:b/>
                <w:i/>
              </w:rPr>
              <w:t>Move OBD to Section 8 – Procedure for Calculating RRS Limits for Individual Resources</w:t>
            </w:r>
          </w:p>
          <w:p w14:paraId="23959FDD" w14:textId="7D60E2A2" w:rsidR="001376A6" w:rsidRPr="00DB2731" w:rsidRDefault="001376A6" w:rsidP="009D5805">
            <w:pPr>
              <w:ind w:left="360"/>
              <w:jc w:val="both"/>
              <w:rPr>
                <w:rFonts w:ascii="Arial" w:hAnsi="Arial" w:cs="Arial"/>
                <w:bCs/>
                <w:iCs/>
              </w:rPr>
            </w:pPr>
            <w:r w:rsidRPr="00DB2731">
              <w:rPr>
                <w:rFonts w:ascii="Arial" w:hAnsi="Arial" w:cs="Arial"/>
                <w:b/>
                <w:iCs/>
              </w:rPr>
              <w:lastRenderedPageBreak/>
              <w:t xml:space="preserve">Sponsor:  </w:t>
            </w:r>
            <w:r w:rsidR="002A76E1" w:rsidRPr="002A76E1">
              <w:rPr>
                <w:rFonts w:ascii="Arial" w:hAnsi="Arial" w:cs="Arial"/>
                <w:bCs/>
                <w:iCs/>
              </w:rPr>
              <w:t>ERCOT</w:t>
            </w:r>
          </w:p>
          <w:p w14:paraId="3E229B35" w14:textId="01AFE5F8" w:rsidR="001376A6" w:rsidRPr="005539E3" w:rsidRDefault="001376A6" w:rsidP="00CE135F">
            <w:pPr>
              <w:pStyle w:val="BodyText"/>
              <w:spacing w:before="0" w:after="0"/>
              <w:ind w:left="360"/>
              <w:jc w:val="both"/>
              <w:rPr>
                <w:rFonts w:ascii="Arial" w:hAnsi="Arial" w:cs="Arial"/>
              </w:rPr>
            </w:pPr>
            <w:r w:rsidRPr="005539E3">
              <w:rPr>
                <w:rFonts w:ascii="Arial" w:hAnsi="Arial" w:cs="Arial"/>
                <w:b/>
              </w:rPr>
              <w:t xml:space="preserve">Proposed Effective Date:  </w:t>
            </w:r>
            <w:r w:rsidR="002A76E1" w:rsidRPr="002A76E1">
              <w:rPr>
                <w:rFonts w:ascii="Arial" w:hAnsi="Arial" w:cs="Arial"/>
                <w:bCs/>
              </w:rPr>
              <w:t xml:space="preserve">Upon system </w:t>
            </w:r>
            <w:proofErr w:type="gramStart"/>
            <w:r w:rsidR="002A76E1" w:rsidRPr="002A76E1">
              <w:rPr>
                <w:rFonts w:ascii="Arial" w:hAnsi="Arial" w:cs="Arial"/>
                <w:bCs/>
              </w:rPr>
              <w:t>implementation</w:t>
            </w:r>
            <w:proofErr w:type="gramEnd"/>
          </w:p>
          <w:p w14:paraId="2A2FEBFE" w14:textId="3FBCEFD4" w:rsidR="002A76E1" w:rsidRPr="005539E3" w:rsidRDefault="002A76E1" w:rsidP="00CE135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Less than $5K (O&amp;M)</w:t>
            </w:r>
          </w:p>
          <w:p w14:paraId="7EF3E393" w14:textId="0851C7B1" w:rsidR="001376A6" w:rsidRDefault="001376A6" w:rsidP="009D5805">
            <w:pPr>
              <w:ind w:left="360"/>
              <w:jc w:val="both"/>
              <w:rPr>
                <w:rFonts w:ascii="Arial" w:hAnsi="Arial" w:cs="Arial"/>
              </w:rPr>
            </w:pPr>
            <w:r w:rsidRPr="005539E3">
              <w:rPr>
                <w:rFonts w:ascii="Arial" w:hAnsi="Arial" w:cs="Arial"/>
                <w:b/>
              </w:rPr>
              <w:t xml:space="preserve">Revision Description:  </w:t>
            </w:r>
            <w:r w:rsidR="002A76E1" w:rsidRPr="002A76E1">
              <w:rPr>
                <w:rFonts w:ascii="Arial" w:hAnsi="Arial" w:cs="Arial"/>
                <w:bCs/>
              </w:rPr>
              <w:t>This NOGRR incorporates the Other Binding Document “Procedure for Calculating Responsive Reserve (RRS) Limits for Individual Resources” into the Nodal Operating Guide.</w:t>
            </w:r>
          </w:p>
          <w:p w14:paraId="6D6E6CD8" w14:textId="502D4742" w:rsidR="001376A6" w:rsidRDefault="001376A6" w:rsidP="00CE135F">
            <w:pPr>
              <w:ind w:left="360"/>
              <w:jc w:val="both"/>
              <w:rPr>
                <w:rFonts w:ascii="Arial" w:hAnsi="Arial" w:cs="Arial"/>
                <w:b/>
              </w:rPr>
            </w:pPr>
            <w:r>
              <w:rPr>
                <w:rFonts w:ascii="Arial" w:hAnsi="Arial" w:cs="Arial"/>
                <w:b/>
              </w:rPr>
              <w:t xml:space="preserve">TAC Decision:  </w:t>
            </w:r>
            <w:r w:rsidR="002A76E1" w:rsidRPr="002A76E1">
              <w:rPr>
                <w:rFonts w:ascii="Arial" w:hAnsi="Arial" w:cs="Arial"/>
                <w:bCs/>
              </w:rPr>
              <w:t>On 2/14/24, TAC voted unanimously to recommend approval of NOGRR261 as recommended by ROS in the 2/1/24 ROS Report.</w:t>
            </w:r>
            <w:r w:rsidR="002A76E1" w:rsidRPr="002A76E1">
              <w:rPr>
                <w:rFonts w:ascii="Arial" w:hAnsi="Arial" w:cs="Arial"/>
                <w:b/>
              </w:rPr>
              <w:t xml:space="preserve">  </w:t>
            </w:r>
          </w:p>
          <w:p w14:paraId="405290C8" w14:textId="3A789085" w:rsidR="001376A6" w:rsidRPr="00D13ABA" w:rsidRDefault="001376A6" w:rsidP="00CE135F">
            <w:pPr>
              <w:ind w:left="360"/>
              <w:jc w:val="both"/>
              <w:rPr>
                <w:rFonts w:ascii="Arial" w:hAnsi="Arial" w:cs="Arial"/>
                <w:bCs/>
              </w:rPr>
            </w:pPr>
            <w:r>
              <w:rPr>
                <w:rFonts w:ascii="Arial" w:hAnsi="Arial" w:cs="Arial"/>
                <w:b/>
              </w:rPr>
              <w:t xml:space="preserve">ERCOT Market Impact Statement:  </w:t>
            </w:r>
            <w:r w:rsidR="00D13ABA" w:rsidRPr="00D13ABA">
              <w:rPr>
                <w:rFonts w:ascii="Arial" w:hAnsi="Arial" w:cs="Arial"/>
                <w:bCs/>
              </w:rPr>
              <w:t>ERCOT Staff has reviewed NOGRR261 and believes it has a positive market impact by standardizing the approval process for binding language.</w:t>
            </w:r>
          </w:p>
          <w:p w14:paraId="60C4418B" w14:textId="77777777" w:rsidR="001376A6" w:rsidRDefault="001376A6" w:rsidP="00CE135F">
            <w:pPr>
              <w:ind w:left="360"/>
              <w:jc w:val="both"/>
              <w:rPr>
                <w:rFonts w:ascii="Arial" w:hAnsi="Arial" w:cs="Arial"/>
                <w:b/>
                <w:iCs/>
              </w:rPr>
            </w:pPr>
          </w:p>
          <w:p w14:paraId="00099A03" w14:textId="56DF30DB" w:rsidR="001376A6" w:rsidRPr="00DB2731" w:rsidRDefault="001376A6" w:rsidP="009D5805">
            <w:pPr>
              <w:numPr>
                <w:ilvl w:val="0"/>
                <w:numId w:val="23"/>
              </w:numPr>
              <w:jc w:val="both"/>
              <w:rPr>
                <w:rFonts w:ascii="Arial" w:hAnsi="Arial" w:cs="Arial"/>
                <w:bCs/>
                <w:iCs/>
              </w:rPr>
            </w:pPr>
            <w:r>
              <w:rPr>
                <w:rFonts w:ascii="Arial" w:hAnsi="Arial" w:cs="Arial"/>
                <w:b/>
                <w:i/>
              </w:rPr>
              <w:t>PGRR109,</w:t>
            </w:r>
            <w:r w:rsidR="00DB5C3F">
              <w:rPr>
                <w:rFonts w:ascii="Arial" w:hAnsi="Arial" w:cs="Arial"/>
                <w:b/>
                <w:i/>
              </w:rPr>
              <w:t xml:space="preserve"> </w:t>
            </w:r>
            <w:r w:rsidR="00DB5C3F" w:rsidRPr="00DB5C3F">
              <w:rPr>
                <w:rFonts w:ascii="Arial" w:hAnsi="Arial" w:cs="Arial"/>
                <w:b/>
                <w:i/>
              </w:rPr>
              <w:t>Dynamic Model Review Process Improvement for Inverter-Based Resource (IBR) Modification</w:t>
            </w:r>
          </w:p>
          <w:p w14:paraId="0B662395" w14:textId="24B2DE67" w:rsidR="001376A6" w:rsidRPr="00DB2731" w:rsidRDefault="001376A6" w:rsidP="009D5805">
            <w:pPr>
              <w:ind w:left="360"/>
              <w:jc w:val="both"/>
              <w:rPr>
                <w:rFonts w:ascii="Arial" w:hAnsi="Arial" w:cs="Arial"/>
                <w:bCs/>
                <w:iCs/>
              </w:rPr>
            </w:pPr>
            <w:r w:rsidRPr="00DB2731">
              <w:rPr>
                <w:rFonts w:ascii="Arial" w:hAnsi="Arial" w:cs="Arial"/>
                <w:b/>
                <w:iCs/>
              </w:rPr>
              <w:t xml:space="preserve">Sponsor:  </w:t>
            </w:r>
            <w:r w:rsidR="00DB5C3F">
              <w:rPr>
                <w:rFonts w:ascii="Arial" w:hAnsi="Arial" w:cs="Arial"/>
                <w:bCs/>
                <w:iCs/>
              </w:rPr>
              <w:t>ERCOT</w:t>
            </w:r>
          </w:p>
          <w:p w14:paraId="686FD156" w14:textId="76C13F12" w:rsidR="001376A6" w:rsidRPr="00DB5C3F" w:rsidRDefault="001376A6" w:rsidP="00CE135F">
            <w:pPr>
              <w:pStyle w:val="BodyText"/>
              <w:spacing w:before="0" w:after="0"/>
              <w:ind w:left="360"/>
              <w:jc w:val="both"/>
              <w:rPr>
                <w:rFonts w:ascii="Arial" w:hAnsi="Arial" w:cs="Arial"/>
                <w:bCs/>
              </w:rPr>
            </w:pPr>
            <w:r w:rsidRPr="005539E3">
              <w:rPr>
                <w:rFonts w:ascii="Arial" w:hAnsi="Arial" w:cs="Arial"/>
                <w:b/>
              </w:rPr>
              <w:t xml:space="preserve">Proposed Effective Date:  </w:t>
            </w:r>
            <w:r w:rsidR="00DB5C3F" w:rsidRPr="00DB5C3F">
              <w:rPr>
                <w:rFonts w:ascii="Arial" w:hAnsi="Arial" w:cs="Arial"/>
                <w:bCs/>
              </w:rPr>
              <w:t xml:space="preserve">The first of the month following PUCT </w:t>
            </w:r>
            <w:proofErr w:type="gramStart"/>
            <w:r w:rsidR="00DB5C3F" w:rsidRPr="00DB5C3F">
              <w:rPr>
                <w:rFonts w:ascii="Arial" w:hAnsi="Arial" w:cs="Arial"/>
                <w:bCs/>
              </w:rPr>
              <w:t>approval</w:t>
            </w:r>
            <w:proofErr w:type="gramEnd"/>
          </w:p>
          <w:p w14:paraId="24BEBF4E" w14:textId="11EBC3C2" w:rsidR="001376A6" w:rsidRPr="005539E3" w:rsidRDefault="00DB5C3F" w:rsidP="00CE135F">
            <w:pPr>
              <w:pStyle w:val="BodyText"/>
              <w:spacing w:before="0" w:after="0"/>
              <w:ind w:left="360"/>
              <w:jc w:val="both"/>
              <w:rPr>
                <w:rFonts w:ascii="Arial" w:hAnsi="Arial" w:cs="Arial"/>
                <w:i/>
              </w:rPr>
            </w:pPr>
            <w:r>
              <w:rPr>
                <w:rFonts w:ascii="Arial" w:hAnsi="Arial" w:cs="Arial"/>
                <w:b/>
              </w:rPr>
              <w:t>Estimated Impacts</w:t>
            </w:r>
            <w:r w:rsidR="001376A6" w:rsidRPr="005539E3">
              <w:rPr>
                <w:rFonts w:ascii="Arial" w:hAnsi="Arial" w:cs="Arial"/>
                <w:b/>
              </w:rPr>
              <w:t xml:space="preserve">:  </w:t>
            </w:r>
            <w:r>
              <w:rPr>
                <w:rFonts w:ascii="Arial" w:hAnsi="Arial" w:cs="Arial"/>
              </w:rPr>
              <w:t>No impact</w:t>
            </w:r>
          </w:p>
          <w:p w14:paraId="44BDECA7" w14:textId="2E0320D1" w:rsidR="001376A6" w:rsidRDefault="001376A6" w:rsidP="009D5805">
            <w:pPr>
              <w:ind w:left="360"/>
              <w:jc w:val="both"/>
              <w:rPr>
                <w:rFonts w:ascii="Arial" w:hAnsi="Arial" w:cs="Arial"/>
              </w:rPr>
            </w:pPr>
            <w:r w:rsidRPr="005539E3">
              <w:rPr>
                <w:rFonts w:ascii="Arial" w:hAnsi="Arial" w:cs="Arial"/>
                <w:b/>
              </w:rPr>
              <w:t xml:space="preserve">Revision Description:  </w:t>
            </w:r>
            <w:r w:rsidR="00DB5C3F" w:rsidRPr="00DB5C3F">
              <w:rPr>
                <w:rFonts w:ascii="Arial" w:hAnsi="Arial" w:cs="Arial"/>
              </w:rPr>
              <w:t>This PGRR introduces a new requirement for Interconnecting Entities (IEs) associated with Inverter-Based Resources (IBRs) to undergo a dynamic model review process prior to the Resource Commissioning Date</w:t>
            </w:r>
            <w:r w:rsidR="00DB5C3F">
              <w:rPr>
                <w:rFonts w:ascii="Arial" w:hAnsi="Arial" w:cs="Arial"/>
              </w:rPr>
              <w:t xml:space="preserve">; and </w:t>
            </w:r>
            <w:r w:rsidR="00DB5C3F" w:rsidRPr="00DB5C3F">
              <w:rPr>
                <w:rFonts w:ascii="Arial" w:hAnsi="Arial" w:cs="Arial"/>
              </w:rPr>
              <w:t>mandates that Resource Entities owning or controlling operational IBRs must undergo a review process before implementing modification to any control settings or equipment that impact the dynamic response (e.g., voltage, frequency, and current injections) at the Point of Interconnection (POI).</w:t>
            </w:r>
          </w:p>
          <w:p w14:paraId="452C89ED" w14:textId="66C46544" w:rsidR="001376A6" w:rsidRPr="00DB5C3F" w:rsidRDefault="001376A6" w:rsidP="00CE135F">
            <w:pPr>
              <w:ind w:left="360"/>
              <w:jc w:val="both"/>
              <w:rPr>
                <w:rFonts w:ascii="Arial" w:hAnsi="Arial" w:cs="Arial"/>
                <w:bCs/>
              </w:rPr>
            </w:pPr>
            <w:r>
              <w:rPr>
                <w:rFonts w:ascii="Arial" w:hAnsi="Arial" w:cs="Arial"/>
                <w:b/>
              </w:rPr>
              <w:t xml:space="preserve">TAC Decision:  </w:t>
            </w:r>
            <w:r w:rsidR="00DB5C3F" w:rsidRPr="00DB5C3F">
              <w:rPr>
                <w:rFonts w:ascii="Arial" w:hAnsi="Arial" w:cs="Arial"/>
                <w:bCs/>
              </w:rPr>
              <w:t xml:space="preserve">On 1/24/24, TAC voted unanimously to recommend approval of PGRR109 as recommended by ROS in the 1/8/24 ROS Report.  </w:t>
            </w:r>
          </w:p>
          <w:p w14:paraId="58B418F8" w14:textId="2FAB60B0" w:rsidR="001376A6" w:rsidRDefault="001376A6" w:rsidP="00CE135F">
            <w:pPr>
              <w:ind w:left="360"/>
              <w:jc w:val="both"/>
              <w:rPr>
                <w:rFonts w:ascii="Arial" w:hAnsi="Arial" w:cs="Arial"/>
                <w:bCs/>
              </w:rPr>
            </w:pPr>
            <w:r>
              <w:rPr>
                <w:rFonts w:ascii="Arial" w:hAnsi="Arial" w:cs="Arial"/>
                <w:b/>
              </w:rPr>
              <w:t xml:space="preserve">ERCOT Market Impact Statement:  </w:t>
            </w:r>
            <w:r w:rsidR="00DB5C3F" w:rsidRPr="00DB5C3F">
              <w:rPr>
                <w:rFonts w:ascii="Arial" w:hAnsi="Arial" w:cs="Arial"/>
                <w:bCs/>
              </w:rPr>
              <w:t xml:space="preserve">ERCOT Staff has reviewed PGRR109 and believes the market impact for PGRR109 is that it improves the dynamic model review process for IBRs by establishing a new requirement for IEs associated with IBRs to undergo a dynamic model review process prior to Resource Commissioning Date, and requiring a review process for operational IBRs before implementing modification to any control settings or equipment that impact the dynamic response  (such as voltage, frequency, and current injections) at the POI. In certain </w:t>
            </w:r>
            <w:proofErr w:type="gramStart"/>
            <w:r w:rsidR="00DB5C3F" w:rsidRPr="00DB5C3F">
              <w:rPr>
                <w:rFonts w:ascii="Arial" w:hAnsi="Arial" w:cs="Arial"/>
                <w:bCs/>
              </w:rPr>
              <w:t>cases</w:t>
            </w:r>
            <w:proofErr w:type="gramEnd"/>
            <w:r w:rsidR="00DB5C3F" w:rsidRPr="00DB5C3F">
              <w:rPr>
                <w:rFonts w:ascii="Arial" w:hAnsi="Arial" w:cs="Arial"/>
                <w:bCs/>
              </w:rPr>
              <w:t xml:space="preserve"> for operational IBRs, it requires the interconnecting </w:t>
            </w:r>
            <w:r w:rsidR="00807A4F">
              <w:rPr>
                <w:rFonts w:ascii="Arial" w:hAnsi="Arial" w:cs="Arial"/>
                <w:bCs/>
              </w:rPr>
              <w:t>Transmission Service Providers (</w:t>
            </w:r>
            <w:r w:rsidR="00DB5C3F" w:rsidRPr="00DB5C3F">
              <w:rPr>
                <w:rFonts w:ascii="Arial" w:hAnsi="Arial" w:cs="Arial"/>
                <w:bCs/>
              </w:rPr>
              <w:t>TSPs</w:t>
            </w:r>
            <w:r w:rsidR="00807A4F">
              <w:rPr>
                <w:rFonts w:ascii="Arial" w:hAnsi="Arial" w:cs="Arial"/>
                <w:bCs/>
              </w:rPr>
              <w:t>)</w:t>
            </w:r>
            <w:r w:rsidR="00DB5C3F" w:rsidRPr="00DB5C3F">
              <w:rPr>
                <w:rFonts w:ascii="Arial" w:hAnsi="Arial" w:cs="Arial"/>
                <w:bCs/>
              </w:rPr>
              <w:t xml:space="preserve"> conducting a limited dynamic stability study to compare and evaluate the electrical performance before and after the proposed modifications.</w:t>
            </w:r>
          </w:p>
          <w:p w14:paraId="5884F721" w14:textId="77777777" w:rsidR="001376A6" w:rsidRPr="00F02C5B" w:rsidRDefault="001376A6" w:rsidP="00CE135F">
            <w:pPr>
              <w:ind w:left="360"/>
              <w:jc w:val="both"/>
              <w:rPr>
                <w:rFonts w:ascii="Arial" w:hAnsi="Arial" w:cs="Arial"/>
                <w:bCs/>
                <w:iCs/>
              </w:rPr>
            </w:pPr>
          </w:p>
          <w:p w14:paraId="184F5FC5" w14:textId="538F0387" w:rsidR="001376A6" w:rsidRPr="00DB2731" w:rsidRDefault="001376A6" w:rsidP="009D5805">
            <w:pPr>
              <w:numPr>
                <w:ilvl w:val="0"/>
                <w:numId w:val="23"/>
              </w:numPr>
              <w:jc w:val="both"/>
              <w:rPr>
                <w:rFonts w:ascii="Arial" w:hAnsi="Arial" w:cs="Arial"/>
                <w:bCs/>
                <w:iCs/>
              </w:rPr>
            </w:pPr>
            <w:r>
              <w:rPr>
                <w:rFonts w:ascii="Arial" w:hAnsi="Arial" w:cs="Arial"/>
                <w:b/>
                <w:i/>
              </w:rPr>
              <w:t>RMGRR179,</w:t>
            </w:r>
            <w:r w:rsidR="00DB5C3F">
              <w:rPr>
                <w:rFonts w:ascii="Arial" w:hAnsi="Arial" w:cs="Arial"/>
                <w:b/>
                <w:i/>
              </w:rPr>
              <w:t xml:space="preserve"> </w:t>
            </w:r>
            <w:r w:rsidR="00DB5C3F" w:rsidRPr="00DB5C3F">
              <w:rPr>
                <w:rFonts w:ascii="Arial" w:hAnsi="Arial" w:cs="Arial"/>
                <w:b/>
                <w:i/>
              </w:rPr>
              <w:t>TDSP Temporary Emergency Electric Energy Facility (TEEEF) Deployment Transactional Processing</w:t>
            </w:r>
            <w:r w:rsidR="00807A4F">
              <w:rPr>
                <w:rFonts w:ascii="Arial" w:hAnsi="Arial" w:cs="Arial"/>
                <w:b/>
                <w:i/>
              </w:rPr>
              <w:t xml:space="preserve"> – URGENT </w:t>
            </w:r>
          </w:p>
          <w:p w14:paraId="3819C0D7" w14:textId="268CC7DB" w:rsidR="001376A6" w:rsidRPr="00DB2731" w:rsidRDefault="001376A6" w:rsidP="009D5805">
            <w:pPr>
              <w:ind w:left="360"/>
              <w:jc w:val="both"/>
              <w:rPr>
                <w:rFonts w:ascii="Arial" w:hAnsi="Arial" w:cs="Arial"/>
                <w:bCs/>
                <w:iCs/>
              </w:rPr>
            </w:pPr>
            <w:r w:rsidRPr="00DB2731">
              <w:rPr>
                <w:rFonts w:ascii="Arial" w:hAnsi="Arial" w:cs="Arial"/>
                <w:b/>
                <w:iCs/>
              </w:rPr>
              <w:t xml:space="preserve">Sponsor:  </w:t>
            </w:r>
            <w:r w:rsidR="00DB5C3F">
              <w:rPr>
                <w:rFonts w:ascii="Arial" w:hAnsi="Arial" w:cs="Arial"/>
                <w:bCs/>
                <w:iCs/>
              </w:rPr>
              <w:t xml:space="preserve">Texas </w:t>
            </w:r>
            <w:r w:rsidR="00807A4F">
              <w:rPr>
                <w:rFonts w:ascii="Arial" w:hAnsi="Arial" w:cs="Arial"/>
                <w:bCs/>
                <w:iCs/>
              </w:rPr>
              <w:t xml:space="preserve">Standard Electronic Transaction (Texas </w:t>
            </w:r>
            <w:r w:rsidR="00DB5C3F">
              <w:rPr>
                <w:rFonts w:ascii="Arial" w:hAnsi="Arial" w:cs="Arial"/>
                <w:bCs/>
                <w:iCs/>
              </w:rPr>
              <w:t>SET</w:t>
            </w:r>
            <w:r w:rsidR="00807A4F">
              <w:rPr>
                <w:rFonts w:ascii="Arial" w:hAnsi="Arial" w:cs="Arial"/>
                <w:bCs/>
                <w:iCs/>
              </w:rPr>
              <w:t>)</w:t>
            </w:r>
            <w:r w:rsidR="00DB5C3F">
              <w:rPr>
                <w:rFonts w:ascii="Arial" w:hAnsi="Arial" w:cs="Arial"/>
                <w:bCs/>
                <w:iCs/>
              </w:rPr>
              <w:t xml:space="preserve"> Working Group</w:t>
            </w:r>
          </w:p>
          <w:p w14:paraId="4F07BB64" w14:textId="386DC0C3" w:rsidR="001376A6" w:rsidRPr="005539E3" w:rsidRDefault="001376A6" w:rsidP="00CE135F">
            <w:pPr>
              <w:pStyle w:val="BodyText"/>
              <w:spacing w:before="0" w:after="0"/>
              <w:ind w:left="360"/>
              <w:jc w:val="both"/>
              <w:rPr>
                <w:rFonts w:ascii="Arial" w:hAnsi="Arial" w:cs="Arial"/>
              </w:rPr>
            </w:pPr>
            <w:r w:rsidRPr="005539E3">
              <w:rPr>
                <w:rFonts w:ascii="Arial" w:hAnsi="Arial" w:cs="Arial"/>
                <w:b/>
              </w:rPr>
              <w:t xml:space="preserve">Proposed Effective Date:  </w:t>
            </w:r>
            <w:r w:rsidR="00DB5C3F" w:rsidRPr="00DB5C3F">
              <w:rPr>
                <w:rFonts w:ascii="Arial" w:hAnsi="Arial" w:cs="Arial"/>
              </w:rPr>
              <w:t xml:space="preserve">Upon implementation of PR409-01, TX SET 5_0 and SCR817, Related to NPRR1095, </w:t>
            </w:r>
            <w:proofErr w:type="spellStart"/>
            <w:r w:rsidR="00DB5C3F" w:rsidRPr="00DB5C3F">
              <w:rPr>
                <w:rFonts w:ascii="Arial" w:hAnsi="Arial" w:cs="Arial"/>
              </w:rPr>
              <w:t>MarkeTrak</w:t>
            </w:r>
            <w:proofErr w:type="spellEnd"/>
            <w:r w:rsidR="00DB5C3F" w:rsidRPr="00DB5C3F">
              <w:rPr>
                <w:rFonts w:ascii="Arial" w:hAnsi="Arial" w:cs="Arial"/>
              </w:rPr>
              <w:t xml:space="preserve"> Validation Revisions Aligning with Texas SET V5.0</w:t>
            </w:r>
          </w:p>
          <w:p w14:paraId="76ACC983" w14:textId="72A1177F" w:rsidR="001376A6" w:rsidRPr="005539E3" w:rsidRDefault="00DB5C3F" w:rsidP="00CE135F">
            <w:pPr>
              <w:pStyle w:val="BodyText"/>
              <w:spacing w:before="0" w:after="0"/>
              <w:ind w:left="360"/>
              <w:jc w:val="both"/>
              <w:rPr>
                <w:rFonts w:ascii="Arial" w:hAnsi="Arial" w:cs="Arial"/>
                <w:i/>
              </w:rPr>
            </w:pPr>
            <w:r>
              <w:rPr>
                <w:rFonts w:ascii="Arial" w:hAnsi="Arial" w:cs="Arial"/>
                <w:b/>
              </w:rPr>
              <w:t>Estimated Impacts</w:t>
            </w:r>
            <w:r w:rsidR="001376A6" w:rsidRPr="005539E3">
              <w:rPr>
                <w:rFonts w:ascii="Arial" w:hAnsi="Arial" w:cs="Arial"/>
                <w:b/>
              </w:rPr>
              <w:t xml:space="preserve">:  </w:t>
            </w:r>
            <w:r>
              <w:rPr>
                <w:rFonts w:ascii="Arial" w:hAnsi="Arial" w:cs="Arial"/>
              </w:rPr>
              <w:t>Less than $10K (O&amp;M)</w:t>
            </w:r>
          </w:p>
          <w:p w14:paraId="5DBB8CCA" w14:textId="3C232CCB" w:rsidR="001376A6" w:rsidRDefault="001376A6" w:rsidP="009D5805">
            <w:pPr>
              <w:ind w:left="360"/>
              <w:jc w:val="both"/>
              <w:rPr>
                <w:rFonts w:ascii="Arial" w:hAnsi="Arial" w:cs="Arial"/>
              </w:rPr>
            </w:pPr>
            <w:r w:rsidRPr="005539E3">
              <w:rPr>
                <w:rFonts w:ascii="Arial" w:hAnsi="Arial" w:cs="Arial"/>
                <w:b/>
              </w:rPr>
              <w:lastRenderedPageBreak/>
              <w:t xml:space="preserve">Revision Description:  </w:t>
            </w:r>
            <w:r w:rsidR="00DB5C3F" w:rsidRPr="00DB5C3F">
              <w:rPr>
                <w:rFonts w:ascii="Arial" w:hAnsi="Arial" w:cs="Arial"/>
              </w:rPr>
              <w:t>This RMGRR adds new Section 7.13</w:t>
            </w:r>
            <w:r w:rsidR="00D43ADD" w:rsidRPr="00D43ADD">
              <w:rPr>
                <w:rFonts w:ascii="Arial" w:hAnsi="Arial" w:cs="Arial"/>
              </w:rPr>
              <w:t>, Transmission and/or Distribution Service Provider (TDSP) Temporary Emergency Electric Energy Facility (TEEEF) Deployment Transactional Processing</w:t>
            </w:r>
            <w:r w:rsidR="00D43ADD">
              <w:rPr>
                <w:rFonts w:ascii="Arial" w:hAnsi="Arial" w:cs="Arial"/>
              </w:rPr>
              <w:t>,</w:t>
            </w:r>
            <w:r w:rsidR="00DB5C3F" w:rsidRPr="00DB5C3F">
              <w:rPr>
                <w:rFonts w:ascii="Arial" w:hAnsi="Arial" w:cs="Arial"/>
              </w:rPr>
              <w:t xml:space="preserve"> which introduces one method of communication in which Transmission and/or Distribution Service Providers (TDSPs), at their own discretion, may utilize Texas SET transactions to inform Retail Electric Providers (REPs) of record which Electric Service Identifiers (ESI IDs) were impacted by a TDSP’s mobile generation or “Temporary Emergency Electric Energy Facility” (TEEEF) deployment, therefore minimizing manual work-arounds that are created due to invoicing as opposed to usage exceptions that may impact Customers’ billing and increase </w:t>
            </w:r>
            <w:proofErr w:type="spellStart"/>
            <w:r w:rsidR="00DB5C3F" w:rsidRPr="00DB5C3F">
              <w:rPr>
                <w:rFonts w:ascii="Arial" w:hAnsi="Arial" w:cs="Arial"/>
              </w:rPr>
              <w:t>MarkeTrak</w:t>
            </w:r>
            <w:proofErr w:type="spellEnd"/>
            <w:r w:rsidR="00DB5C3F" w:rsidRPr="00DB5C3F">
              <w:rPr>
                <w:rFonts w:ascii="Arial" w:hAnsi="Arial" w:cs="Arial"/>
              </w:rPr>
              <w:t xml:space="preserve"> issue volumes for resolutio</w:t>
            </w:r>
            <w:r w:rsidR="00DB5C3F">
              <w:rPr>
                <w:rFonts w:ascii="Arial" w:hAnsi="Arial" w:cs="Arial"/>
              </w:rPr>
              <w:t xml:space="preserve">n; and </w:t>
            </w:r>
            <w:r w:rsidR="00DB5C3F" w:rsidRPr="00DB5C3F">
              <w:rPr>
                <w:rFonts w:ascii="Arial" w:hAnsi="Arial" w:cs="Arial"/>
              </w:rPr>
              <w:t>clarifies in Section 7.14.4 that the REF~JH~I data element is dedicated exclusively to Customer-owned generation</w:t>
            </w:r>
            <w:r w:rsidR="00DB5C3F">
              <w:rPr>
                <w:rFonts w:ascii="Arial" w:hAnsi="Arial" w:cs="Arial"/>
              </w:rPr>
              <w:t>.</w:t>
            </w:r>
          </w:p>
          <w:p w14:paraId="7F15184A" w14:textId="3F588141" w:rsidR="001376A6" w:rsidRDefault="001376A6" w:rsidP="00CE135F">
            <w:pPr>
              <w:ind w:left="360"/>
              <w:jc w:val="both"/>
              <w:rPr>
                <w:rFonts w:ascii="Arial" w:hAnsi="Arial" w:cs="Arial"/>
                <w:b/>
              </w:rPr>
            </w:pPr>
            <w:r>
              <w:rPr>
                <w:rFonts w:ascii="Arial" w:hAnsi="Arial" w:cs="Arial"/>
                <w:b/>
              </w:rPr>
              <w:t xml:space="preserve">TAC Decision:  </w:t>
            </w:r>
            <w:r w:rsidR="00DB5C3F" w:rsidRPr="00DB5C3F">
              <w:rPr>
                <w:rFonts w:ascii="Arial" w:hAnsi="Arial" w:cs="Arial"/>
                <w:bCs/>
              </w:rPr>
              <w:t>On 1/24/24, TAC voted unanimously to recommend approval of RMGRR179 as recommended by RMS in the 1/9/24 RMS Report as revised by TAC; and the 1/23/24 Impact Analysis.</w:t>
            </w:r>
            <w:r w:rsidR="00DB5C3F" w:rsidRPr="00DB5C3F">
              <w:rPr>
                <w:rFonts w:ascii="Arial" w:hAnsi="Arial" w:cs="Arial"/>
                <w:b/>
              </w:rPr>
              <w:t xml:space="preserve">  </w:t>
            </w:r>
          </w:p>
          <w:p w14:paraId="27899C02" w14:textId="5F279784" w:rsidR="00DB5C3F" w:rsidRDefault="001376A6" w:rsidP="00CE135F">
            <w:pPr>
              <w:ind w:left="360"/>
              <w:jc w:val="both"/>
              <w:rPr>
                <w:rFonts w:ascii="Arial" w:hAnsi="Arial" w:cs="Arial"/>
                <w:bCs/>
              </w:rPr>
            </w:pPr>
            <w:r>
              <w:rPr>
                <w:rFonts w:ascii="Arial" w:hAnsi="Arial" w:cs="Arial"/>
                <w:b/>
              </w:rPr>
              <w:t xml:space="preserve">ERCOT Market Impact Statement:  </w:t>
            </w:r>
            <w:r w:rsidR="00DB5C3F" w:rsidRPr="00DB5C3F">
              <w:rPr>
                <w:rFonts w:ascii="Arial" w:hAnsi="Arial" w:cs="Arial"/>
                <w:bCs/>
              </w:rPr>
              <w:t xml:space="preserve">ERCOT Staff has reviewed RMGRR179 and believes that it provides a positive market impact by offering regulatory requirements by introducing a method in which TDSPs may utilize Texas SET transactions to communicate with REPs to minimize manual </w:t>
            </w:r>
            <w:proofErr w:type="gramStart"/>
            <w:r w:rsidR="00DB5C3F" w:rsidRPr="00DB5C3F">
              <w:rPr>
                <w:rFonts w:ascii="Arial" w:hAnsi="Arial" w:cs="Arial"/>
                <w:bCs/>
              </w:rPr>
              <w:t>work-arounds</w:t>
            </w:r>
            <w:proofErr w:type="gramEnd"/>
            <w:r w:rsidR="00DB5C3F" w:rsidRPr="00DB5C3F">
              <w:rPr>
                <w:rFonts w:ascii="Arial" w:hAnsi="Arial" w:cs="Arial"/>
                <w:bCs/>
              </w:rPr>
              <w:t xml:space="preserve"> and clarifying that the REF~JH~I data element is dedicated exclusively to Customer-owned generation.</w:t>
            </w:r>
          </w:p>
          <w:p w14:paraId="677AADD0" w14:textId="77777777" w:rsidR="00DB5C3F" w:rsidRDefault="00DB5C3F" w:rsidP="00CE135F">
            <w:pPr>
              <w:ind w:left="360"/>
              <w:jc w:val="both"/>
              <w:rPr>
                <w:rFonts w:ascii="Arial" w:hAnsi="Arial" w:cs="Arial"/>
                <w:bCs/>
              </w:rPr>
            </w:pPr>
          </w:p>
          <w:p w14:paraId="686B025D" w14:textId="77777777" w:rsidR="00DB5C3F" w:rsidRPr="00DB2731" w:rsidRDefault="00DB5C3F" w:rsidP="009D5805">
            <w:pPr>
              <w:numPr>
                <w:ilvl w:val="0"/>
                <w:numId w:val="23"/>
              </w:numPr>
              <w:jc w:val="both"/>
              <w:rPr>
                <w:rFonts w:ascii="Arial" w:hAnsi="Arial" w:cs="Arial"/>
                <w:bCs/>
                <w:iCs/>
              </w:rPr>
            </w:pPr>
            <w:r>
              <w:rPr>
                <w:rFonts w:ascii="Arial" w:hAnsi="Arial" w:cs="Arial"/>
                <w:b/>
                <w:i/>
              </w:rPr>
              <w:t>SCR825</w:t>
            </w:r>
            <w:r w:rsidRPr="00DB2731">
              <w:rPr>
                <w:rFonts w:ascii="Arial" w:hAnsi="Arial" w:cs="Arial"/>
                <w:b/>
                <w:i/>
              </w:rPr>
              <w:t xml:space="preserve">, </w:t>
            </w:r>
            <w:r w:rsidRPr="0034534B">
              <w:rPr>
                <w:rFonts w:ascii="Arial" w:hAnsi="Arial" w:cs="Arial"/>
                <w:b/>
                <w:i/>
              </w:rPr>
              <w:t>ERCOT Voice Communications Aggregation</w:t>
            </w:r>
          </w:p>
          <w:p w14:paraId="6C46A903" w14:textId="77777777" w:rsidR="00DB5C3F" w:rsidRPr="00DB2731" w:rsidRDefault="00DB5C3F" w:rsidP="009D5805">
            <w:pPr>
              <w:ind w:left="360"/>
              <w:jc w:val="both"/>
              <w:rPr>
                <w:rFonts w:ascii="Arial" w:hAnsi="Arial" w:cs="Arial"/>
                <w:bCs/>
                <w:iCs/>
              </w:rPr>
            </w:pPr>
            <w:r w:rsidRPr="00DB2731">
              <w:rPr>
                <w:rFonts w:ascii="Arial" w:hAnsi="Arial" w:cs="Arial"/>
                <w:b/>
                <w:iCs/>
              </w:rPr>
              <w:t xml:space="preserve">Sponsor:  </w:t>
            </w:r>
            <w:r>
              <w:rPr>
                <w:rFonts w:ascii="Arial" w:hAnsi="Arial" w:cs="Arial"/>
                <w:bCs/>
                <w:iCs/>
              </w:rPr>
              <w:t>Tenaska</w:t>
            </w:r>
          </w:p>
          <w:p w14:paraId="6DCEC243" w14:textId="77777777" w:rsidR="00DB5C3F" w:rsidRPr="005539E3" w:rsidRDefault="00DB5C3F" w:rsidP="00CE135F">
            <w:pPr>
              <w:pStyle w:val="BodyText"/>
              <w:spacing w:before="0" w:after="0"/>
              <w:ind w:left="360"/>
              <w:jc w:val="both"/>
              <w:rPr>
                <w:rFonts w:ascii="Arial" w:hAnsi="Arial" w:cs="Arial"/>
              </w:rPr>
            </w:pPr>
            <w:r w:rsidRPr="005539E3">
              <w:rPr>
                <w:rFonts w:ascii="Arial" w:hAnsi="Arial" w:cs="Arial"/>
                <w:b/>
              </w:rPr>
              <w:t xml:space="preserve">Proposed Effective Date:  </w:t>
            </w:r>
            <w:r w:rsidRPr="00B64A02">
              <w:rPr>
                <w:rFonts w:ascii="Arial" w:hAnsi="Arial" w:cs="Arial"/>
              </w:rPr>
              <w:t xml:space="preserve">Upon </w:t>
            </w:r>
            <w:r>
              <w:rPr>
                <w:rFonts w:ascii="Arial" w:hAnsi="Arial" w:cs="Arial"/>
              </w:rPr>
              <w:t>system implementation – Priority 2025; Rank 4510</w:t>
            </w:r>
          </w:p>
          <w:p w14:paraId="2FFF6D04" w14:textId="77777777" w:rsidR="00DB5C3F" w:rsidRPr="005539E3" w:rsidRDefault="00DB5C3F" w:rsidP="00CE135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sidRPr="007C2195">
              <w:rPr>
                <w:rFonts w:ascii="Arial" w:hAnsi="Arial" w:cs="Arial"/>
              </w:rPr>
              <w:t>Between $</w:t>
            </w:r>
            <w:r>
              <w:rPr>
                <w:rFonts w:ascii="Arial" w:hAnsi="Arial" w:cs="Arial"/>
              </w:rPr>
              <w:t>150K</w:t>
            </w:r>
            <w:r w:rsidRPr="007C2195">
              <w:rPr>
                <w:rFonts w:ascii="Arial" w:hAnsi="Arial" w:cs="Arial"/>
              </w:rPr>
              <w:t xml:space="preserve"> and $</w:t>
            </w:r>
            <w:r>
              <w:rPr>
                <w:rFonts w:ascii="Arial" w:hAnsi="Arial" w:cs="Arial"/>
              </w:rPr>
              <w:t>250K</w:t>
            </w:r>
          </w:p>
          <w:p w14:paraId="750602D9" w14:textId="77777777" w:rsidR="00DB5C3F" w:rsidRDefault="00DB5C3F" w:rsidP="009D5805">
            <w:pPr>
              <w:ind w:left="360"/>
              <w:jc w:val="both"/>
              <w:rPr>
                <w:rFonts w:ascii="Arial" w:hAnsi="Arial" w:cs="Arial"/>
              </w:rPr>
            </w:pPr>
            <w:r w:rsidRPr="005539E3">
              <w:rPr>
                <w:rFonts w:ascii="Arial" w:hAnsi="Arial" w:cs="Arial"/>
                <w:b/>
              </w:rPr>
              <w:t xml:space="preserve">Revision Description:  </w:t>
            </w:r>
            <w:r w:rsidRPr="0034534B">
              <w:rPr>
                <w:rFonts w:ascii="Arial" w:hAnsi="Arial" w:cs="Arial"/>
              </w:rPr>
              <w:t>This SCR modifies ERCOT’s current control room voice communication configuration(s) to allow for greater flexibility for QSEs and their Subordinate QSEs (Sub-QSE) when assigning Agent(s), including allowing Sub-QSEs to assign Agents different than those used by the parent QSE.</w:t>
            </w:r>
          </w:p>
          <w:p w14:paraId="02A83B38" w14:textId="77777777" w:rsidR="00DB5C3F" w:rsidRDefault="00DB5C3F" w:rsidP="00CE135F">
            <w:pPr>
              <w:ind w:left="360"/>
              <w:jc w:val="both"/>
              <w:rPr>
                <w:rFonts w:ascii="Arial" w:hAnsi="Arial" w:cs="Arial"/>
                <w:b/>
              </w:rPr>
            </w:pPr>
            <w:r>
              <w:rPr>
                <w:rFonts w:ascii="Arial" w:hAnsi="Arial" w:cs="Arial"/>
                <w:b/>
              </w:rPr>
              <w:t xml:space="preserve">TAC Decision:  </w:t>
            </w:r>
            <w:r w:rsidRPr="00AB7379">
              <w:rPr>
                <w:rFonts w:ascii="Arial" w:hAnsi="Arial" w:cs="Arial"/>
                <w:bCs/>
              </w:rPr>
              <w:t>On 1/24/24, TAC voted unanimously to recommend approval of SCR825 as recommended by PRS in the 1/11/24 PRS Report.</w:t>
            </w:r>
            <w:r w:rsidRPr="00AB7379">
              <w:rPr>
                <w:rFonts w:ascii="Arial" w:hAnsi="Arial" w:cs="Arial"/>
                <w:b/>
              </w:rPr>
              <w:t xml:space="preserve">  </w:t>
            </w:r>
          </w:p>
          <w:p w14:paraId="65722823" w14:textId="0CEC9B6F" w:rsidR="00DB5C3F" w:rsidRDefault="00DB5C3F" w:rsidP="00CE135F">
            <w:pPr>
              <w:ind w:left="360"/>
              <w:jc w:val="both"/>
              <w:rPr>
                <w:rFonts w:ascii="Arial" w:hAnsi="Arial" w:cs="Arial"/>
                <w:bCs/>
              </w:rPr>
            </w:pPr>
            <w:r>
              <w:rPr>
                <w:rFonts w:ascii="Arial" w:hAnsi="Arial" w:cs="Arial"/>
                <w:b/>
              </w:rPr>
              <w:t xml:space="preserve">ERCOT Market Impact Statement:  </w:t>
            </w:r>
            <w:r w:rsidRPr="00AB7379">
              <w:rPr>
                <w:rFonts w:ascii="Arial" w:hAnsi="Arial" w:cs="Arial"/>
                <w:bCs/>
              </w:rPr>
              <w:t>ERCOT Staff has reviewed SCR825 and believes the market impact for SCR825 enables ERCOT to recognize QSEs that serve as agents for voice communication with ERCOT and allows a more granular assignment of Agent to Sub QSE voice communication relationships within impacted system(s) which may be requested by currents QSEs and in the future.</w:t>
            </w:r>
          </w:p>
          <w:p w14:paraId="77A2D900" w14:textId="77777777" w:rsidR="007659A3" w:rsidRDefault="007659A3" w:rsidP="00CE135F">
            <w:pPr>
              <w:jc w:val="both"/>
              <w:rPr>
                <w:rFonts w:ascii="Arial" w:hAnsi="Arial" w:cs="Arial"/>
                <w:bCs/>
              </w:rPr>
            </w:pPr>
          </w:p>
          <w:p w14:paraId="39B719E3" w14:textId="7229AD02" w:rsidR="001376A6" w:rsidRPr="00DB2731" w:rsidRDefault="001376A6" w:rsidP="009D5805">
            <w:pPr>
              <w:numPr>
                <w:ilvl w:val="0"/>
                <w:numId w:val="23"/>
              </w:numPr>
              <w:jc w:val="both"/>
              <w:rPr>
                <w:rFonts w:ascii="Arial" w:hAnsi="Arial" w:cs="Arial"/>
                <w:bCs/>
                <w:iCs/>
              </w:rPr>
            </w:pPr>
            <w:r>
              <w:rPr>
                <w:rFonts w:ascii="Arial" w:hAnsi="Arial" w:cs="Arial"/>
                <w:b/>
                <w:i/>
              </w:rPr>
              <w:t>SMOGRR</w:t>
            </w:r>
            <w:proofErr w:type="gramStart"/>
            <w:r>
              <w:rPr>
                <w:rFonts w:ascii="Arial" w:hAnsi="Arial" w:cs="Arial"/>
                <w:b/>
                <w:i/>
              </w:rPr>
              <w:t xml:space="preserve">027, </w:t>
            </w:r>
            <w:r w:rsidR="005C3ABE">
              <w:t xml:space="preserve"> </w:t>
            </w:r>
            <w:r w:rsidR="005C3ABE" w:rsidRPr="005C3ABE">
              <w:rPr>
                <w:rFonts w:ascii="Arial" w:hAnsi="Arial" w:cs="Arial"/>
                <w:b/>
                <w:i/>
              </w:rPr>
              <w:t>Move</w:t>
            </w:r>
            <w:proofErr w:type="gramEnd"/>
            <w:r w:rsidR="005C3ABE" w:rsidRPr="005C3ABE">
              <w:rPr>
                <w:rFonts w:ascii="Arial" w:hAnsi="Arial" w:cs="Arial"/>
                <w:b/>
                <w:i/>
              </w:rPr>
              <w:t xml:space="preserve"> OBD to Settlement Metering Operating Guide – EPS Metering Design Proposal</w:t>
            </w:r>
          </w:p>
          <w:p w14:paraId="4068DA47" w14:textId="0AD5FFFA" w:rsidR="001376A6" w:rsidRPr="00DB2731" w:rsidRDefault="001376A6" w:rsidP="009D5805">
            <w:pPr>
              <w:ind w:left="360"/>
              <w:jc w:val="both"/>
              <w:rPr>
                <w:rFonts w:ascii="Arial" w:hAnsi="Arial" w:cs="Arial"/>
                <w:bCs/>
                <w:iCs/>
              </w:rPr>
            </w:pPr>
            <w:r w:rsidRPr="00DB2731">
              <w:rPr>
                <w:rFonts w:ascii="Arial" w:hAnsi="Arial" w:cs="Arial"/>
                <w:b/>
                <w:iCs/>
              </w:rPr>
              <w:t xml:space="preserve">Sponsor:  </w:t>
            </w:r>
            <w:r w:rsidR="005C3ABE">
              <w:rPr>
                <w:rFonts w:ascii="Arial" w:hAnsi="Arial" w:cs="Arial"/>
                <w:bCs/>
                <w:iCs/>
              </w:rPr>
              <w:t>ERCOT</w:t>
            </w:r>
          </w:p>
          <w:p w14:paraId="118AB435" w14:textId="7FE01BC1" w:rsidR="001376A6" w:rsidRPr="005539E3" w:rsidRDefault="001376A6" w:rsidP="00CE135F">
            <w:pPr>
              <w:pStyle w:val="BodyText"/>
              <w:spacing w:before="0" w:after="0"/>
              <w:ind w:left="360"/>
              <w:jc w:val="both"/>
              <w:rPr>
                <w:rFonts w:ascii="Arial" w:hAnsi="Arial" w:cs="Arial"/>
              </w:rPr>
            </w:pPr>
            <w:r w:rsidRPr="005539E3">
              <w:rPr>
                <w:rFonts w:ascii="Arial" w:hAnsi="Arial" w:cs="Arial"/>
                <w:b/>
              </w:rPr>
              <w:t xml:space="preserve">Proposed Effective Date:  </w:t>
            </w:r>
            <w:r w:rsidRPr="00B64A02">
              <w:rPr>
                <w:rFonts w:ascii="Arial" w:hAnsi="Arial" w:cs="Arial"/>
              </w:rPr>
              <w:t xml:space="preserve">Upon </w:t>
            </w:r>
            <w:r>
              <w:rPr>
                <w:rFonts w:ascii="Arial" w:hAnsi="Arial" w:cs="Arial"/>
              </w:rPr>
              <w:t xml:space="preserve">system </w:t>
            </w:r>
            <w:proofErr w:type="gramStart"/>
            <w:r>
              <w:rPr>
                <w:rFonts w:ascii="Arial" w:hAnsi="Arial" w:cs="Arial"/>
              </w:rPr>
              <w:t>implementation</w:t>
            </w:r>
            <w:proofErr w:type="gramEnd"/>
          </w:p>
          <w:p w14:paraId="284854DE" w14:textId="774DD48D" w:rsidR="005C3ABE" w:rsidRPr="005539E3" w:rsidRDefault="005C3ABE" w:rsidP="00CE135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Less than $5K (O&amp;M)</w:t>
            </w:r>
          </w:p>
          <w:p w14:paraId="7A084865" w14:textId="4BBCB982" w:rsidR="001376A6" w:rsidRDefault="001376A6" w:rsidP="009D5805">
            <w:pPr>
              <w:ind w:left="360"/>
              <w:jc w:val="both"/>
              <w:rPr>
                <w:rFonts w:ascii="Arial" w:hAnsi="Arial" w:cs="Arial"/>
              </w:rPr>
            </w:pPr>
            <w:r w:rsidRPr="005539E3">
              <w:rPr>
                <w:rFonts w:ascii="Arial" w:hAnsi="Arial" w:cs="Arial"/>
                <w:b/>
              </w:rPr>
              <w:t xml:space="preserve">Revision Description:  </w:t>
            </w:r>
            <w:r w:rsidR="002A76E1" w:rsidRPr="002A76E1">
              <w:rPr>
                <w:rFonts w:ascii="Arial" w:hAnsi="Arial" w:cs="Arial"/>
              </w:rPr>
              <w:t xml:space="preserve">This SMOGRR moves the EPS Metering Design Proposal from the Other Binding Documents List into the Settlement Metering Operating </w:t>
            </w:r>
            <w:r w:rsidR="002A76E1" w:rsidRPr="002A76E1">
              <w:rPr>
                <w:rFonts w:ascii="Arial" w:hAnsi="Arial" w:cs="Arial"/>
              </w:rPr>
              <w:lastRenderedPageBreak/>
              <w:t>Guide to standardize the approval process, and deletes references to the Resource Asset Registration Form (RARF) in the EPS Metering Design Proposal form.</w:t>
            </w:r>
          </w:p>
          <w:p w14:paraId="2ACE5622" w14:textId="315F94D1" w:rsidR="001376A6" w:rsidRDefault="001376A6" w:rsidP="00CE135F">
            <w:pPr>
              <w:ind w:left="360"/>
              <w:jc w:val="both"/>
              <w:rPr>
                <w:rFonts w:ascii="Arial" w:hAnsi="Arial" w:cs="Arial"/>
                <w:b/>
              </w:rPr>
            </w:pPr>
            <w:r>
              <w:rPr>
                <w:rFonts w:ascii="Arial" w:hAnsi="Arial" w:cs="Arial"/>
                <w:b/>
              </w:rPr>
              <w:t xml:space="preserve">TAC Decision:  </w:t>
            </w:r>
            <w:r w:rsidR="005C3ABE">
              <w:rPr>
                <w:rFonts w:ascii="Arial" w:hAnsi="Arial" w:cs="Arial"/>
                <w:b/>
              </w:rPr>
              <w:t xml:space="preserve"> </w:t>
            </w:r>
            <w:r w:rsidR="005C3ABE" w:rsidRPr="005C3ABE">
              <w:rPr>
                <w:rFonts w:ascii="Arial" w:hAnsi="Arial" w:cs="Arial"/>
                <w:bCs/>
              </w:rPr>
              <w:t>On 2/14/24, TAC voted unanimously to recommend approval of SMOGRR027 as recommended by WMS in the 2/7/24 WMS Report.</w:t>
            </w:r>
          </w:p>
          <w:p w14:paraId="48CB318A" w14:textId="69685864" w:rsidR="001376A6" w:rsidRPr="005C3ABE" w:rsidRDefault="001376A6" w:rsidP="00CE135F">
            <w:pPr>
              <w:ind w:left="360"/>
              <w:jc w:val="both"/>
              <w:rPr>
                <w:rFonts w:ascii="Arial" w:hAnsi="Arial" w:cs="Arial"/>
                <w:bCs/>
              </w:rPr>
            </w:pPr>
            <w:r>
              <w:rPr>
                <w:rFonts w:ascii="Arial" w:hAnsi="Arial" w:cs="Arial"/>
                <w:b/>
              </w:rPr>
              <w:t xml:space="preserve">ERCOT Market Impact Statement:  </w:t>
            </w:r>
            <w:r w:rsidR="005C3ABE" w:rsidRPr="005C3ABE">
              <w:rPr>
                <w:rFonts w:ascii="Arial" w:hAnsi="Arial" w:cs="Arial"/>
                <w:bCs/>
              </w:rPr>
              <w:t>ERCOT Staff has reviewed SMOGRR027 and believes it has a positive market impact by standardizing the approval process for binding language.</w:t>
            </w:r>
          </w:p>
          <w:p w14:paraId="6D29BA46" w14:textId="77777777" w:rsidR="007659A3" w:rsidRDefault="007659A3" w:rsidP="00CE135F">
            <w:pPr>
              <w:ind w:left="360"/>
              <w:jc w:val="both"/>
              <w:rPr>
                <w:rFonts w:ascii="Arial" w:hAnsi="Arial" w:cs="Arial"/>
                <w:bCs/>
              </w:rPr>
            </w:pPr>
          </w:p>
          <w:p w14:paraId="46A165F0" w14:textId="583264EB" w:rsidR="001376A6" w:rsidRPr="00DB2731" w:rsidRDefault="001376A6" w:rsidP="009D5805">
            <w:pPr>
              <w:numPr>
                <w:ilvl w:val="0"/>
                <w:numId w:val="23"/>
              </w:numPr>
              <w:jc w:val="both"/>
              <w:rPr>
                <w:rFonts w:ascii="Arial" w:hAnsi="Arial" w:cs="Arial"/>
                <w:bCs/>
                <w:iCs/>
              </w:rPr>
            </w:pPr>
            <w:r>
              <w:rPr>
                <w:rFonts w:ascii="Arial" w:hAnsi="Arial" w:cs="Arial"/>
                <w:b/>
                <w:i/>
              </w:rPr>
              <w:t>SMOGRR</w:t>
            </w:r>
            <w:proofErr w:type="gramStart"/>
            <w:r>
              <w:rPr>
                <w:rFonts w:ascii="Arial" w:hAnsi="Arial" w:cs="Arial"/>
                <w:b/>
                <w:i/>
              </w:rPr>
              <w:t xml:space="preserve">030, </w:t>
            </w:r>
            <w:r w:rsidR="002A76E1">
              <w:t xml:space="preserve"> </w:t>
            </w:r>
            <w:r w:rsidR="002A76E1" w:rsidRPr="002A76E1">
              <w:rPr>
                <w:rFonts w:ascii="Arial" w:hAnsi="Arial" w:cs="Arial"/>
                <w:b/>
                <w:i/>
              </w:rPr>
              <w:t>Move</w:t>
            </w:r>
            <w:proofErr w:type="gramEnd"/>
            <w:r w:rsidR="002A76E1" w:rsidRPr="002A76E1">
              <w:rPr>
                <w:rFonts w:ascii="Arial" w:hAnsi="Arial" w:cs="Arial"/>
                <w:b/>
                <w:i/>
              </w:rPr>
              <w:t xml:space="preserve"> OBD to Settlement Metering Operating Guide – EPS Metering Facility Temporary Exemption Request Application Form</w:t>
            </w:r>
          </w:p>
          <w:p w14:paraId="38D0773D" w14:textId="77777777" w:rsidR="001376A6" w:rsidRPr="00DB2731" w:rsidRDefault="001376A6" w:rsidP="009D5805">
            <w:pPr>
              <w:ind w:left="360"/>
              <w:jc w:val="both"/>
              <w:rPr>
                <w:rFonts w:ascii="Arial" w:hAnsi="Arial" w:cs="Arial"/>
                <w:bCs/>
                <w:iCs/>
              </w:rPr>
            </w:pPr>
            <w:r w:rsidRPr="00DB2731">
              <w:rPr>
                <w:rFonts w:ascii="Arial" w:hAnsi="Arial" w:cs="Arial"/>
                <w:b/>
                <w:iCs/>
              </w:rPr>
              <w:t xml:space="preserve">Sponsor:  </w:t>
            </w:r>
            <w:r>
              <w:rPr>
                <w:rFonts w:ascii="Arial" w:hAnsi="Arial" w:cs="Arial"/>
                <w:bCs/>
                <w:iCs/>
              </w:rPr>
              <w:t>Tenaska</w:t>
            </w:r>
          </w:p>
          <w:p w14:paraId="307B2AD7" w14:textId="38FF9379" w:rsidR="001376A6" w:rsidRPr="005539E3" w:rsidRDefault="001376A6" w:rsidP="00CE135F">
            <w:pPr>
              <w:pStyle w:val="BodyText"/>
              <w:spacing w:before="0" w:after="0"/>
              <w:ind w:left="360"/>
              <w:jc w:val="both"/>
              <w:rPr>
                <w:rFonts w:ascii="Arial" w:hAnsi="Arial" w:cs="Arial"/>
              </w:rPr>
            </w:pPr>
            <w:r w:rsidRPr="005539E3">
              <w:rPr>
                <w:rFonts w:ascii="Arial" w:hAnsi="Arial" w:cs="Arial"/>
                <w:b/>
              </w:rPr>
              <w:t xml:space="preserve">Proposed Effective Date:  </w:t>
            </w:r>
            <w:r w:rsidR="002A76E1" w:rsidRPr="002A76E1">
              <w:rPr>
                <w:rFonts w:ascii="Arial" w:hAnsi="Arial" w:cs="Arial"/>
              </w:rPr>
              <w:t xml:space="preserve">Upon system </w:t>
            </w:r>
            <w:proofErr w:type="gramStart"/>
            <w:r w:rsidR="002A76E1" w:rsidRPr="002A76E1">
              <w:rPr>
                <w:rFonts w:ascii="Arial" w:hAnsi="Arial" w:cs="Arial"/>
              </w:rPr>
              <w:t>implementation</w:t>
            </w:r>
            <w:proofErr w:type="gramEnd"/>
          </w:p>
          <w:p w14:paraId="6285FD58" w14:textId="77777777" w:rsidR="002A76E1" w:rsidRPr="005539E3" w:rsidRDefault="002A76E1" w:rsidP="00CE135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Less than $5K (O&amp;M)</w:t>
            </w:r>
          </w:p>
          <w:p w14:paraId="7CAD2089" w14:textId="7CB7D0B8" w:rsidR="001376A6" w:rsidRDefault="001376A6" w:rsidP="009D5805">
            <w:pPr>
              <w:ind w:left="360"/>
              <w:jc w:val="both"/>
              <w:rPr>
                <w:rFonts w:ascii="Arial" w:hAnsi="Arial" w:cs="Arial"/>
              </w:rPr>
            </w:pPr>
            <w:r w:rsidRPr="005539E3">
              <w:rPr>
                <w:rFonts w:ascii="Arial" w:hAnsi="Arial" w:cs="Arial"/>
                <w:b/>
              </w:rPr>
              <w:t xml:space="preserve">Revision Description:  </w:t>
            </w:r>
            <w:r w:rsidR="002A76E1" w:rsidRPr="002A76E1">
              <w:rPr>
                <w:rFonts w:ascii="Arial" w:hAnsi="Arial" w:cs="Arial"/>
              </w:rPr>
              <w:t>This SMOGRR moves the EPS Metering Facility Temporary Exemption Request Application Form from the Other Binding Documents List into the Settlement Metering Operating Guide to standardize the approval process.</w:t>
            </w:r>
          </w:p>
          <w:p w14:paraId="18C62248" w14:textId="29604403" w:rsidR="001376A6" w:rsidRDefault="001376A6" w:rsidP="00CE135F">
            <w:pPr>
              <w:ind w:left="360"/>
              <w:jc w:val="both"/>
              <w:rPr>
                <w:rFonts w:ascii="Arial" w:hAnsi="Arial" w:cs="Arial"/>
                <w:b/>
              </w:rPr>
            </w:pPr>
            <w:r>
              <w:rPr>
                <w:rFonts w:ascii="Arial" w:hAnsi="Arial" w:cs="Arial"/>
                <w:b/>
              </w:rPr>
              <w:t xml:space="preserve">TAC Decision:  </w:t>
            </w:r>
            <w:r w:rsidR="005C3ABE">
              <w:rPr>
                <w:rFonts w:ascii="Arial" w:hAnsi="Arial" w:cs="Arial"/>
                <w:b/>
              </w:rPr>
              <w:t xml:space="preserve"> </w:t>
            </w:r>
            <w:r w:rsidR="005C3ABE" w:rsidRPr="005C3ABE">
              <w:rPr>
                <w:rFonts w:ascii="Arial" w:hAnsi="Arial" w:cs="Arial"/>
                <w:bCs/>
              </w:rPr>
              <w:t>On 2/14/24, TAC voted unanimously to recommend approval of SMOGRR030 as recommended by WMS in the 2/7/24 WMS Report.</w:t>
            </w:r>
          </w:p>
          <w:p w14:paraId="041DE56C" w14:textId="740C8E79" w:rsidR="001376A6" w:rsidRDefault="001376A6" w:rsidP="00CE135F">
            <w:pPr>
              <w:ind w:left="360"/>
              <w:jc w:val="both"/>
              <w:rPr>
                <w:rFonts w:ascii="Arial" w:hAnsi="Arial" w:cs="Arial"/>
                <w:bCs/>
              </w:rPr>
            </w:pPr>
            <w:r>
              <w:rPr>
                <w:rFonts w:ascii="Arial" w:hAnsi="Arial" w:cs="Arial"/>
                <w:b/>
              </w:rPr>
              <w:t xml:space="preserve">ERCOT Market Impact Statement:  </w:t>
            </w:r>
            <w:r w:rsidR="005C3ABE" w:rsidRPr="005C3ABE">
              <w:rPr>
                <w:rFonts w:ascii="Arial" w:hAnsi="Arial" w:cs="Arial"/>
                <w:bCs/>
              </w:rPr>
              <w:t>ERCOT Staff has reviewed SMOGRR030 and believes it has a positive market impact by standardizing the approval process for binding language.</w:t>
            </w:r>
          </w:p>
          <w:p w14:paraId="30B75B76" w14:textId="77777777" w:rsidR="00513026" w:rsidRDefault="00513026" w:rsidP="00CE135F">
            <w:pPr>
              <w:ind w:left="360"/>
              <w:jc w:val="both"/>
              <w:rPr>
                <w:rFonts w:ascii="Arial" w:hAnsi="Arial" w:cs="Arial"/>
                <w:b/>
              </w:rPr>
            </w:pPr>
          </w:p>
          <w:p w14:paraId="0F7D1522" w14:textId="77777777" w:rsidR="00B60803" w:rsidRPr="005E3961" w:rsidRDefault="00B60803" w:rsidP="00CE135F">
            <w:pPr>
              <w:jc w:val="both"/>
              <w:rPr>
                <w:rFonts w:ascii="Arial" w:hAnsi="Arial" w:cs="Arial"/>
                <w:b/>
                <w:i/>
              </w:rPr>
            </w:pPr>
          </w:p>
          <w:p w14:paraId="4EF91F7C" w14:textId="5677E483" w:rsidR="009C6BA6" w:rsidRPr="005E3961" w:rsidRDefault="009C6BA6" w:rsidP="00CE135F">
            <w:pPr>
              <w:jc w:val="both"/>
              <w:rPr>
                <w:rFonts w:ascii="Arial" w:hAnsi="Arial" w:cs="Arial"/>
                <w:bCs/>
              </w:rPr>
            </w:pPr>
            <w:r w:rsidRPr="005E3961">
              <w:rPr>
                <w:rFonts w:ascii="Arial" w:hAnsi="Arial" w:cs="Arial"/>
                <w:bCs/>
              </w:rPr>
              <w:t>The TAC Reports and Impact Analyses for these Revision Requests are included in the</w:t>
            </w:r>
            <w:r w:rsidR="00310F14">
              <w:rPr>
                <w:rFonts w:ascii="Arial" w:hAnsi="Arial" w:cs="Arial"/>
                <w:bCs/>
              </w:rPr>
              <w:t xml:space="preserve"> </w:t>
            </w:r>
            <w:hyperlink r:id="rId12" w:history="1">
              <w:r w:rsidR="00310F14" w:rsidRPr="00310F14">
                <w:rPr>
                  <w:rStyle w:val="Hyperlink"/>
                  <w:rFonts w:ascii="Arial" w:hAnsi="Arial" w:cs="Arial"/>
                  <w:bCs/>
                </w:rPr>
                <w:t>ERCOT Board meeting materials</w:t>
              </w:r>
            </w:hyperlink>
            <w:r w:rsidR="0042169B" w:rsidRPr="005E3961">
              <w:rPr>
                <w:rFonts w:ascii="Arial" w:hAnsi="Arial" w:cs="Arial"/>
                <w:bCs/>
              </w:rPr>
              <w:t>.</w:t>
            </w:r>
          </w:p>
          <w:p w14:paraId="4639C5BE" w14:textId="74675491" w:rsidR="00250349" w:rsidRPr="005E3961" w:rsidRDefault="00250349" w:rsidP="00CE135F">
            <w:pPr>
              <w:jc w:val="both"/>
              <w:rPr>
                <w:rFonts w:ascii="Arial" w:hAnsi="Arial" w:cs="Arial"/>
              </w:rPr>
            </w:pPr>
          </w:p>
          <w:p w14:paraId="3163E0DE" w14:textId="14A1A630" w:rsidR="0042169B" w:rsidRPr="005E3961" w:rsidRDefault="009C6BA6" w:rsidP="00CE135F">
            <w:pPr>
              <w:jc w:val="both"/>
              <w:rPr>
                <w:rFonts w:ascii="Arial" w:hAnsi="Arial" w:cs="Arial"/>
                <w:bCs/>
              </w:rPr>
            </w:pPr>
            <w:r w:rsidRPr="005E3961">
              <w:rPr>
                <w:rFonts w:ascii="Arial" w:hAnsi="Arial" w:cs="Arial"/>
                <w:bCs/>
              </w:rPr>
              <w:t>In addition, these Revision Requests</w:t>
            </w:r>
            <w:r w:rsidR="0042169B" w:rsidRPr="005E3961">
              <w:rPr>
                <w:rFonts w:ascii="Arial" w:hAnsi="Arial" w:cs="Arial"/>
                <w:bCs/>
              </w:rPr>
              <w:t xml:space="preserve"> </w:t>
            </w:r>
            <w:r w:rsidRPr="005E3961">
              <w:rPr>
                <w:rFonts w:ascii="Arial" w:hAnsi="Arial" w:cs="Arial"/>
                <w:bCs/>
              </w:rPr>
              <w:t>and supporting materials are posted on the ERCOT website</w:t>
            </w:r>
            <w:r w:rsidR="0042169B" w:rsidRPr="005E3961">
              <w:rPr>
                <w:rFonts w:ascii="Arial" w:hAnsi="Arial" w:cs="Arial"/>
                <w:bCs/>
              </w:rPr>
              <w:t>.</w:t>
            </w:r>
          </w:p>
          <w:p w14:paraId="3C8D9A5D" w14:textId="2EFF0FEA" w:rsidR="0042169B" w:rsidRPr="005E3961" w:rsidRDefault="0042169B" w:rsidP="005E3961">
            <w:pPr>
              <w:jc w:val="both"/>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D02F6E">
            <w:pPr>
              <w:pStyle w:val="Heading5"/>
              <w:keepNext w:val="0"/>
              <w:jc w:val="both"/>
              <w:rPr>
                <w:rFonts w:ascii="Arial" w:hAnsi="Arial" w:cs="Arial"/>
                <w:b/>
                <w:bCs/>
              </w:rPr>
            </w:pPr>
            <w:r w:rsidRPr="00F47DEE">
              <w:rPr>
                <w:rFonts w:ascii="Arial" w:hAnsi="Arial" w:cs="Arial"/>
                <w:b/>
                <w:bCs/>
              </w:rPr>
              <w:lastRenderedPageBreak/>
              <w:t>Key Factors Influencing Issue:</w:t>
            </w:r>
          </w:p>
          <w:p w14:paraId="7BD28DDB" w14:textId="67A053E0" w:rsidR="00CB6134" w:rsidRDefault="00DA79E3" w:rsidP="00874727">
            <w:pPr>
              <w:jc w:val="both"/>
              <w:rPr>
                <w:rFonts w:ascii="Arial" w:hAnsi="Arial" w:cs="Arial"/>
                <w:bCs/>
              </w:rPr>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F43783">
              <w:rPr>
                <w:rFonts w:ascii="Arial" w:hAnsi="Arial" w:cs="Arial"/>
                <w:bCs/>
              </w:rPr>
              <w:t xml:space="preserve">, </w:t>
            </w:r>
            <w:r w:rsidRPr="00F47DEE">
              <w:rPr>
                <w:rFonts w:ascii="Arial" w:hAnsi="Arial" w:cs="Arial"/>
                <w:bCs/>
              </w:rPr>
              <w:t xml:space="preserve">discussed the issues, and submitted reports to TAC regarding </w:t>
            </w:r>
            <w:r w:rsidR="00874727">
              <w:rPr>
                <w:rFonts w:ascii="Arial" w:hAnsi="Arial" w:cs="Arial"/>
                <w:bCs/>
              </w:rPr>
              <w:t xml:space="preserve">NPRRs </w:t>
            </w:r>
            <w:r w:rsidR="00424C42">
              <w:rPr>
                <w:rFonts w:ascii="Arial" w:hAnsi="Arial" w:cs="Arial"/>
                <w:bCs/>
              </w:rPr>
              <w:t>1170, 1179, 1193, 1195, 1199, 1206, 1207, 1208, 1210, 1211,</w:t>
            </w:r>
            <w:r w:rsidR="00310F14">
              <w:rPr>
                <w:rFonts w:ascii="Arial" w:hAnsi="Arial" w:cs="Arial"/>
                <w:bCs/>
              </w:rPr>
              <w:t xml:space="preserve"> and</w:t>
            </w:r>
            <w:r w:rsidR="00424C42">
              <w:rPr>
                <w:rFonts w:ascii="Arial" w:hAnsi="Arial" w:cs="Arial"/>
                <w:bCs/>
              </w:rPr>
              <w:t xml:space="preserve"> 1213; and SCR825.</w:t>
            </w:r>
            <w:r w:rsidR="00874727">
              <w:rPr>
                <w:rFonts w:ascii="Arial" w:hAnsi="Arial" w:cs="Arial"/>
                <w:bCs/>
              </w:rPr>
              <w:t xml:space="preserve">  </w:t>
            </w:r>
          </w:p>
          <w:p w14:paraId="2381208F" w14:textId="77777777" w:rsidR="00874727" w:rsidRDefault="00874727" w:rsidP="00874727">
            <w:pPr>
              <w:jc w:val="both"/>
              <w:rPr>
                <w:rFonts w:ascii="Arial" w:hAnsi="Arial" w:cs="Arial"/>
                <w:bCs/>
              </w:rPr>
            </w:pPr>
          </w:p>
          <w:p w14:paraId="76E4A090" w14:textId="04B389BA" w:rsidR="00424C42" w:rsidRDefault="00424C42" w:rsidP="00424C42">
            <w:pPr>
              <w:jc w:val="both"/>
              <w:rPr>
                <w:rFonts w:ascii="Arial" w:hAnsi="Arial" w:cs="Arial"/>
                <w:bCs/>
              </w:rPr>
            </w:pPr>
            <w:r w:rsidRPr="00F47DEE">
              <w:rPr>
                <w:rFonts w:ascii="Arial" w:hAnsi="Arial" w:cs="Arial"/>
                <w:bCs/>
              </w:rPr>
              <w:t xml:space="preserve">The </w:t>
            </w:r>
            <w:r>
              <w:rPr>
                <w:rFonts w:ascii="Arial" w:hAnsi="Arial" w:cs="Arial"/>
                <w:bCs/>
              </w:rPr>
              <w:t xml:space="preserve">RMS met, </w:t>
            </w:r>
            <w:r w:rsidRPr="00F47DEE">
              <w:rPr>
                <w:rFonts w:ascii="Arial" w:hAnsi="Arial" w:cs="Arial"/>
                <w:bCs/>
              </w:rPr>
              <w:t xml:space="preserve">discussed the issues, and submitted reports to TAC regarding </w:t>
            </w:r>
            <w:r>
              <w:rPr>
                <w:rFonts w:ascii="Arial" w:hAnsi="Arial" w:cs="Arial"/>
                <w:bCs/>
              </w:rPr>
              <w:t>LPGRR074 and RMGRR179.</w:t>
            </w:r>
          </w:p>
          <w:p w14:paraId="1AC8CF08" w14:textId="77777777" w:rsidR="00424C42" w:rsidRDefault="00424C42" w:rsidP="00424C42">
            <w:pPr>
              <w:jc w:val="both"/>
              <w:rPr>
                <w:rFonts w:ascii="Arial" w:hAnsi="Arial" w:cs="Arial"/>
                <w:bCs/>
              </w:rPr>
            </w:pPr>
          </w:p>
          <w:p w14:paraId="361826B4" w14:textId="004B690E" w:rsidR="00874727" w:rsidRDefault="00874727" w:rsidP="00874727">
            <w:pPr>
              <w:jc w:val="both"/>
              <w:rPr>
                <w:rFonts w:ascii="Arial" w:hAnsi="Arial" w:cs="Arial"/>
                <w:bCs/>
              </w:rPr>
            </w:pPr>
            <w:r w:rsidRPr="00F47DEE">
              <w:rPr>
                <w:rFonts w:ascii="Arial" w:hAnsi="Arial" w:cs="Arial"/>
                <w:bCs/>
              </w:rPr>
              <w:t xml:space="preserve">The </w:t>
            </w:r>
            <w:r>
              <w:rPr>
                <w:rFonts w:ascii="Arial" w:hAnsi="Arial" w:cs="Arial"/>
                <w:bCs/>
              </w:rPr>
              <w:t xml:space="preserve">ROS met, </w:t>
            </w:r>
            <w:r w:rsidRPr="00F47DEE">
              <w:rPr>
                <w:rFonts w:ascii="Arial" w:hAnsi="Arial" w:cs="Arial"/>
                <w:bCs/>
              </w:rPr>
              <w:t xml:space="preserve">discussed the issues, and submitted reports to TAC regarding </w:t>
            </w:r>
            <w:r w:rsidR="00424C42">
              <w:rPr>
                <w:rFonts w:ascii="Arial" w:hAnsi="Arial" w:cs="Arial"/>
                <w:bCs/>
              </w:rPr>
              <w:t>NOGRR261 and PGRR109.</w:t>
            </w:r>
          </w:p>
          <w:p w14:paraId="5F2EE260" w14:textId="77777777" w:rsidR="00424C42" w:rsidRDefault="00424C42" w:rsidP="00874727">
            <w:pPr>
              <w:jc w:val="both"/>
              <w:rPr>
                <w:rFonts w:ascii="Arial" w:hAnsi="Arial" w:cs="Arial"/>
                <w:bCs/>
              </w:rPr>
            </w:pPr>
          </w:p>
          <w:p w14:paraId="10EC99BC" w14:textId="37230349" w:rsidR="00874727" w:rsidRDefault="00424C42" w:rsidP="00874727">
            <w:pPr>
              <w:jc w:val="both"/>
              <w:rPr>
                <w:rFonts w:ascii="Arial" w:hAnsi="Arial" w:cs="Arial"/>
                <w:bCs/>
              </w:rPr>
            </w:pPr>
            <w:r w:rsidRPr="00F47DEE">
              <w:rPr>
                <w:rFonts w:ascii="Arial" w:hAnsi="Arial" w:cs="Arial"/>
                <w:bCs/>
              </w:rPr>
              <w:t xml:space="preserve">The </w:t>
            </w:r>
            <w:r>
              <w:rPr>
                <w:rFonts w:ascii="Arial" w:hAnsi="Arial" w:cs="Arial"/>
                <w:bCs/>
              </w:rPr>
              <w:t xml:space="preserve">WMS met, </w:t>
            </w:r>
            <w:r w:rsidRPr="00F47DEE">
              <w:rPr>
                <w:rFonts w:ascii="Arial" w:hAnsi="Arial" w:cs="Arial"/>
                <w:bCs/>
              </w:rPr>
              <w:t xml:space="preserve">discussed the issues, and submitted reports to TAC regarding </w:t>
            </w:r>
            <w:r>
              <w:rPr>
                <w:rFonts w:ascii="Arial" w:hAnsi="Arial" w:cs="Arial"/>
                <w:bCs/>
              </w:rPr>
              <w:t>SMOGRRs 027 and 030.</w:t>
            </w:r>
          </w:p>
          <w:p w14:paraId="6CB7B3F0" w14:textId="5798FF25" w:rsidR="00874727" w:rsidRPr="00F47DEE" w:rsidRDefault="00874727" w:rsidP="00424C42">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D02F6E">
            <w:pPr>
              <w:pStyle w:val="Heading5"/>
              <w:keepLines/>
              <w:jc w:val="both"/>
              <w:rPr>
                <w:rFonts w:ascii="Arial" w:hAnsi="Arial" w:cs="Arial"/>
                <w:b/>
                <w:bCs/>
              </w:rPr>
            </w:pPr>
            <w:r w:rsidRPr="00F47DEE">
              <w:rPr>
                <w:rFonts w:ascii="Arial" w:hAnsi="Arial" w:cs="Arial"/>
                <w:b/>
                <w:bCs/>
              </w:rPr>
              <w:t>Conclusion/Recommendation:</w:t>
            </w:r>
          </w:p>
          <w:p w14:paraId="4CF950E0" w14:textId="1FCF8061" w:rsidR="00424C42" w:rsidRDefault="009C6BA6" w:rsidP="00424C42">
            <w:pPr>
              <w:jc w:val="both"/>
              <w:rPr>
                <w:rFonts w:ascii="Arial" w:hAnsi="Arial" w:cs="Arial"/>
                <w:bCs/>
              </w:rPr>
            </w:pPr>
            <w:r w:rsidRPr="00F47DEE">
              <w:rPr>
                <w:rFonts w:ascii="Arial" w:hAnsi="Arial" w:cs="Arial"/>
                <w:bCs/>
              </w:rPr>
              <w:t xml:space="preserve">As more specifically described above, TAC recommends that the Board </w:t>
            </w:r>
            <w:r w:rsidR="00C43D1F">
              <w:rPr>
                <w:rFonts w:ascii="Arial" w:hAnsi="Arial" w:cs="Arial"/>
                <w:bCs/>
              </w:rPr>
              <w:t>recommend approval of</w:t>
            </w:r>
            <w:r w:rsidR="00783C94" w:rsidRPr="00F47DEE">
              <w:rPr>
                <w:rFonts w:ascii="Arial" w:hAnsi="Arial" w:cs="Arial"/>
                <w:bCs/>
              </w:rPr>
              <w:t xml:space="preserve"> </w:t>
            </w:r>
            <w:r w:rsidR="00874727">
              <w:rPr>
                <w:rFonts w:ascii="Arial" w:hAnsi="Arial" w:cs="Arial"/>
                <w:bCs/>
              </w:rPr>
              <w:t xml:space="preserve">NPRRs </w:t>
            </w:r>
            <w:r w:rsidR="00424C42">
              <w:rPr>
                <w:rFonts w:ascii="Arial" w:hAnsi="Arial" w:cs="Arial"/>
                <w:bCs/>
              </w:rPr>
              <w:t xml:space="preserve">1170, 1179, 1193, 1195, 1199, 1206, 1207, 1208, 1210, 1211, </w:t>
            </w:r>
            <w:r w:rsidR="00310F14">
              <w:rPr>
                <w:rFonts w:ascii="Arial" w:hAnsi="Arial" w:cs="Arial"/>
                <w:bCs/>
              </w:rPr>
              <w:t xml:space="preserve">and </w:t>
            </w:r>
            <w:r w:rsidR="00424C42">
              <w:rPr>
                <w:rFonts w:ascii="Arial" w:hAnsi="Arial" w:cs="Arial"/>
                <w:bCs/>
              </w:rPr>
              <w:t xml:space="preserve">1213; LPGRR074; NOGRR261; PGRR109; RMGRR179; SCR825; and SMOGRRs 027 and 030.  </w:t>
            </w:r>
          </w:p>
          <w:p w14:paraId="5802F134" w14:textId="77777777" w:rsidR="001A2306" w:rsidRPr="00F47DEE" w:rsidRDefault="001A2306" w:rsidP="00FA19B6">
            <w:pPr>
              <w:jc w:val="both"/>
              <w:rPr>
                <w:rFonts w:ascii="Arial" w:hAnsi="Arial" w:cs="Arial"/>
              </w:rPr>
            </w:pPr>
          </w:p>
        </w:tc>
      </w:tr>
    </w:tbl>
    <w:p w14:paraId="66DA0645" w14:textId="77777777" w:rsidR="004609AD" w:rsidRDefault="004609AD" w:rsidP="00D01ADD">
      <w:pPr>
        <w:jc w:val="center"/>
        <w:rPr>
          <w:rFonts w:ascii="Arial" w:hAnsi="Arial" w:cs="Arial"/>
          <w:b/>
          <w:u w:val="single"/>
        </w:rPr>
      </w:pPr>
    </w:p>
    <w:p w14:paraId="18C57483" w14:textId="77777777" w:rsidR="004609AD" w:rsidRDefault="004609AD">
      <w:pPr>
        <w:rPr>
          <w:rFonts w:ascii="Arial" w:hAnsi="Arial" w:cs="Arial"/>
          <w:b/>
          <w:u w:val="single"/>
        </w:rPr>
      </w:pPr>
      <w:r>
        <w:rPr>
          <w:rFonts w:ascii="Arial" w:hAnsi="Arial" w:cs="Arial"/>
          <w:b/>
          <w:u w:val="single"/>
        </w:rPr>
        <w:br w:type="page"/>
      </w:r>
    </w:p>
    <w:p w14:paraId="70CB28D7" w14:textId="552F75C2" w:rsidR="00307699" w:rsidRPr="00F47DEE" w:rsidRDefault="00307699" w:rsidP="00D01ADD">
      <w:pPr>
        <w:jc w:val="center"/>
        <w:rPr>
          <w:rFonts w:ascii="Arial" w:hAnsi="Arial" w:cs="Arial"/>
          <w:b/>
          <w:u w:val="single"/>
        </w:rPr>
      </w:pPr>
      <w:r w:rsidRPr="00F47DEE">
        <w:rPr>
          <w:rFonts w:ascii="Arial" w:hAnsi="Arial" w:cs="Arial"/>
          <w:b/>
          <w:u w:val="single"/>
        </w:rPr>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24035E6C" w14:textId="553B50B8" w:rsidR="00307699" w:rsidRPr="00F47DEE" w:rsidRDefault="00307699" w:rsidP="00A62562">
      <w:pPr>
        <w:jc w:val="both"/>
        <w:rPr>
          <w:rFonts w:ascii="Arial" w:hAnsi="Arial" w:cs="Arial"/>
        </w:rPr>
      </w:pPr>
      <w:bookmarkStart w:id="4" w:name="_Hlk83888922"/>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sidR="00CD2CB1">
        <w:rPr>
          <w:rFonts w:ascii="Arial" w:hAnsi="Arial" w:cs="Arial"/>
        </w:rPr>
        <w:t xml:space="preserve">recommend approval of </w:t>
      </w:r>
      <w:r w:rsidR="00167741" w:rsidRPr="00F47DEE">
        <w:rPr>
          <w:rFonts w:ascii="Arial" w:hAnsi="Arial" w:cs="Arial"/>
        </w:rPr>
        <w:t xml:space="preserve">the </w:t>
      </w:r>
      <w:r w:rsidR="002E7BC5" w:rsidRPr="00F47DEE">
        <w:rPr>
          <w:rFonts w:ascii="Arial" w:hAnsi="Arial" w:cs="Arial"/>
        </w:rPr>
        <w:t xml:space="preserve">following </w:t>
      </w:r>
      <w:r w:rsidR="00424C42">
        <w:rPr>
          <w:rFonts w:ascii="Arial" w:hAnsi="Arial" w:cs="Arial"/>
          <w:bCs/>
        </w:rPr>
        <w:t>Nodal Protocol Revision Requests (NPRRs), Load Profiling Guide Revision Request (LPGRR), Nodal Operating Guide Revision Request (NOGRR), Planning Guide Revision Request (PGRR), Retail Market Guide Revision Request (RMGRR), System Change Request (SCR), and Settlement Metering Operating Guide Revision Requests (SMOGRRs)</w:t>
      </w:r>
      <w:r w:rsidR="00424C42" w:rsidRPr="000377DE">
        <w:rPr>
          <w:rFonts w:ascii="Arial" w:hAnsi="Arial" w:cs="Arial"/>
          <w:bCs/>
        </w:rPr>
        <w:t xml:space="preserve"> </w:t>
      </w:r>
      <w:r w:rsidR="00424C42" w:rsidRPr="00F47DEE">
        <w:rPr>
          <w:rFonts w:ascii="Arial" w:hAnsi="Arial" w:cs="Arial"/>
          <w:bCs/>
        </w:rPr>
        <w:t>recommended for approval by TAC</w:t>
      </w:r>
      <w:r w:rsidR="00424C42">
        <w:rPr>
          <w:rFonts w:ascii="Arial" w:hAnsi="Arial" w:cs="Arial"/>
          <w:bCs/>
        </w:rPr>
        <w:t>:</w:t>
      </w:r>
    </w:p>
    <w:bookmarkEnd w:id="4"/>
    <w:p w14:paraId="304A09E9" w14:textId="77777777" w:rsidR="002E235F" w:rsidRPr="00F47DEE" w:rsidRDefault="002E235F" w:rsidP="00A62562">
      <w:pPr>
        <w:jc w:val="both"/>
        <w:rPr>
          <w:rFonts w:ascii="Arial" w:hAnsi="Arial" w:cs="Arial"/>
        </w:rPr>
      </w:pPr>
    </w:p>
    <w:p w14:paraId="7EE47D68" w14:textId="68ECDB50" w:rsidR="00424C42" w:rsidRPr="009202E9" w:rsidRDefault="00424C42" w:rsidP="00424C42">
      <w:pPr>
        <w:pStyle w:val="ListParagraph"/>
        <w:numPr>
          <w:ilvl w:val="0"/>
          <w:numId w:val="6"/>
        </w:numPr>
        <w:rPr>
          <w:rFonts w:ascii="Arial" w:hAnsi="Arial" w:cs="Arial"/>
          <w:bCs/>
        </w:rPr>
      </w:pPr>
      <w:r w:rsidRPr="009202E9">
        <w:rPr>
          <w:rFonts w:ascii="Arial" w:hAnsi="Arial" w:cs="Arial"/>
          <w:bCs/>
        </w:rPr>
        <w:t xml:space="preserve">NPRR1170, </w:t>
      </w:r>
      <w:r w:rsidR="00E56C58" w:rsidRPr="00E56C58">
        <w:rPr>
          <w:rFonts w:ascii="Arial" w:hAnsi="Arial" w:cs="Arial"/>
          <w:bCs/>
        </w:rPr>
        <w:t>Submission of Gas Supply Disruption</w:t>
      </w:r>
      <w:r>
        <w:rPr>
          <w:rFonts w:ascii="Arial" w:hAnsi="Arial" w:cs="Arial"/>
          <w:bCs/>
        </w:rPr>
        <w:t>;</w:t>
      </w:r>
      <w:r w:rsidRPr="009202E9">
        <w:rPr>
          <w:rFonts w:ascii="Arial" w:hAnsi="Arial" w:cs="Arial"/>
          <w:bCs/>
        </w:rPr>
        <w:t xml:space="preserve"> </w:t>
      </w:r>
    </w:p>
    <w:p w14:paraId="1EABE8A8" w14:textId="77777777" w:rsidR="00424C42" w:rsidRDefault="00424C42" w:rsidP="00424C42">
      <w:pPr>
        <w:pStyle w:val="ListParagraph"/>
        <w:numPr>
          <w:ilvl w:val="0"/>
          <w:numId w:val="6"/>
        </w:numPr>
        <w:rPr>
          <w:rFonts w:ascii="Arial" w:hAnsi="Arial" w:cs="Arial"/>
          <w:bCs/>
        </w:rPr>
      </w:pPr>
      <w:r w:rsidRPr="009202E9">
        <w:rPr>
          <w:rFonts w:ascii="Arial" w:hAnsi="Arial" w:cs="Arial"/>
          <w:bCs/>
        </w:rPr>
        <w:lastRenderedPageBreak/>
        <w:t>NPRR1179, Fuel Purchase Requirements for Resources Submitting RUC Fuel Costs – URGENT</w:t>
      </w:r>
      <w:r>
        <w:rPr>
          <w:rFonts w:ascii="Arial" w:hAnsi="Arial" w:cs="Arial"/>
          <w:bCs/>
        </w:rPr>
        <w:t>;</w:t>
      </w:r>
      <w:r w:rsidRPr="009202E9">
        <w:rPr>
          <w:rFonts w:ascii="Arial" w:hAnsi="Arial" w:cs="Arial"/>
          <w:bCs/>
        </w:rPr>
        <w:t xml:space="preserve"> </w:t>
      </w:r>
    </w:p>
    <w:p w14:paraId="440941D5" w14:textId="77777777" w:rsidR="00424C42" w:rsidRPr="009202E9" w:rsidRDefault="00424C42" w:rsidP="00424C42">
      <w:pPr>
        <w:pStyle w:val="ListParagraph"/>
        <w:numPr>
          <w:ilvl w:val="0"/>
          <w:numId w:val="6"/>
        </w:numPr>
        <w:rPr>
          <w:rFonts w:ascii="Arial" w:hAnsi="Arial" w:cs="Arial"/>
          <w:bCs/>
        </w:rPr>
      </w:pPr>
      <w:r>
        <w:rPr>
          <w:rFonts w:ascii="Arial" w:hAnsi="Arial" w:cs="Arial"/>
          <w:bCs/>
        </w:rPr>
        <w:t xml:space="preserve">NPRR1193, </w:t>
      </w:r>
      <w:r w:rsidRPr="00424C42">
        <w:rPr>
          <w:rFonts w:ascii="Arial" w:hAnsi="Arial" w:cs="Arial"/>
          <w:bCs/>
        </w:rPr>
        <w:t>Related to SMOGRR027, Move OBD to Settlement Metering Operating Guide – EPS Metering Design Proposal</w:t>
      </w:r>
      <w:r>
        <w:rPr>
          <w:rFonts w:ascii="Arial" w:hAnsi="Arial" w:cs="Arial"/>
          <w:bCs/>
        </w:rPr>
        <w:t>;</w:t>
      </w:r>
    </w:p>
    <w:p w14:paraId="322F6930" w14:textId="77777777" w:rsidR="00424C42" w:rsidRPr="009202E9" w:rsidRDefault="00424C42" w:rsidP="00424C42">
      <w:pPr>
        <w:pStyle w:val="ListParagraph"/>
        <w:numPr>
          <w:ilvl w:val="0"/>
          <w:numId w:val="6"/>
        </w:numPr>
        <w:rPr>
          <w:rFonts w:ascii="Arial" w:hAnsi="Arial" w:cs="Arial"/>
          <w:bCs/>
        </w:rPr>
      </w:pPr>
      <w:r w:rsidRPr="009202E9">
        <w:rPr>
          <w:rFonts w:ascii="Arial" w:hAnsi="Arial" w:cs="Arial"/>
          <w:bCs/>
        </w:rPr>
        <w:t>NPRR1195, Resource Entity Metering Facilities Maintenance</w:t>
      </w:r>
      <w:r>
        <w:rPr>
          <w:rFonts w:ascii="Arial" w:hAnsi="Arial" w:cs="Arial"/>
          <w:bCs/>
        </w:rPr>
        <w:t>;</w:t>
      </w:r>
      <w:r w:rsidRPr="009202E9">
        <w:rPr>
          <w:rFonts w:ascii="Arial" w:hAnsi="Arial" w:cs="Arial"/>
          <w:bCs/>
        </w:rPr>
        <w:t xml:space="preserve"> </w:t>
      </w:r>
    </w:p>
    <w:p w14:paraId="5FE323FD" w14:textId="77777777" w:rsidR="00424C42" w:rsidRDefault="00424C42" w:rsidP="00424C42">
      <w:pPr>
        <w:numPr>
          <w:ilvl w:val="0"/>
          <w:numId w:val="6"/>
        </w:numPr>
        <w:jc w:val="both"/>
        <w:rPr>
          <w:rFonts w:ascii="Arial" w:hAnsi="Arial" w:cs="Arial"/>
        </w:rPr>
      </w:pPr>
      <w:r>
        <w:rPr>
          <w:rFonts w:ascii="Arial" w:hAnsi="Arial" w:cs="Arial"/>
        </w:rPr>
        <w:t xml:space="preserve">NPRR1199, </w:t>
      </w:r>
      <w:r w:rsidRPr="00E87FC8">
        <w:rPr>
          <w:rFonts w:ascii="Arial" w:hAnsi="Arial" w:cs="Arial"/>
        </w:rPr>
        <w:t>Implementation of Lone Star Infrastructure Protection Act (LSIPA) Requirements</w:t>
      </w:r>
      <w:r>
        <w:rPr>
          <w:rFonts w:ascii="Arial" w:hAnsi="Arial" w:cs="Arial"/>
        </w:rPr>
        <w:t xml:space="preserve"> – URGENT; </w:t>
      </w:r>
    </w:p>
    <w:p w14:paraId="27E87AAD" w14:textId="77777777" w:rsidR="00424C42" w:rsidRPr="009202E9" w:rsidRDefault="00424C42" w:rsidP="00424C42">
      <w:pPr>
        <w:pStyle w:val="ListParagraph"/>
        <w:numPr>
          <w:ilvl w:val="0"/>
          <w:numId w:val="6"/>
        </w:numPr>
        <w:rPr>
          <w:rFonts w:ascii="Arial" w:hAnsi="Arial" w:cs="Arial"/>
          <w:bCs/>
        </w:rPr>
      </w:pPr>
      <w:r w:rsidRPr="009202E9">
        <w:rPr>
          <w:rFonts w:ascii="Arial" w:hAnsi="Arial" w:cs="Arial"/>
          <w:bCs/>
        </w:rPr>
        <w:t>NPRR1206, Revisions to QSE Operations and Termination Requirements, and Elimination of Providing Certain Market Participant Principal Information</w:t>
      </w:r>
      <w:r>
        <w:rPr>
          <w:rFonts w:ascii="Arial" w:hAnsi="Arial" w:cs="Arial"/>
          <w:bCs/>
        </w:rPr>
        <w:t>;</w:t>
      </w:r>
    </w:p>
    <w:p w14:paraId="1CB7098E" w14:textId="77777777" w:rsidR="00424C42" w:rsidRPr="009202E9" w:rsidRDefault="00424C42" w:rsidP="00424C42">
      <w:pPr>
        <w:pStyle w:val="ListParagraph"/>
        <w:numPr>
          <w:ilvl w:val="0"/>
          <w:numId w:val="6"/>
        </w:numPr>
        <w:rPr>
          <w:rFonts w:ascii="Arial" w:hAnsi="Arial" w:cs="Arial"/>
          <w:bCs/>
        </w:rPr>
      </w:pPr>
      <w:r w:rsidRPr="009202E9">
        <w:rPr>
          <w:rFonts w:ascii="Arial" w:hAnsi="Arial" w:cs="Arial"/>
          <w:bCs/>
        </w:rPr>
        <w:t>NPRR1207, Incidental Disclosure of Protected Information and ECEII During ERCOT Control Room Tours</w:t>
      </w:r>
      <w:r>
        <w:rPr>
          <w:rFonts w:ascii="Arial" w:hAnsi="Arial" w:cs="Arial"/>
          <w:bCs/>
        </w:rPr>
        <w:t>;</w:t>
      </w:r>
    </w:p>
    <w:p w14:paraId="34F643BC" w14:textId="77777777" w:rsidR="00424C42" w:rsidRDefault="00424C42" w:rsidP="00424C42">
      <w:pPr>
        <w:pStyle w:val="ListParagraph"/>
        <w:numPr>
          <w:ilvl w:val="0"/>
          <w:numId w:val="6"/>
        </w:numPr>
        <w:rPr>
          <w:rFonts w:ascii="Arial" w:hAnsi="Arial" w:cs="Arial"/>
          <w:bCs/>
        </w:rPr>
      </w:pPr>
      <w:r w:rsidRPr="009202E9">
        <w:rPr>
          <w:rFonts w:ascii="Arial" w:hAnsi="Arial" w:cs="Arial"/>
          <w:bCs/>
        </w:rPr>
        <w:t>NPRR1208, Creation of Invoice Report</w:t>
      </w:r>
      <w:r>
        <w:rPr>
          <w:rFonts w:ascii="Arial" w:hAnsi="Arial" w:cs="Arial"/>
          <w:bCs/>
        </w:rPr>
        <w:t>;</w:t>
      </w:r>
      <w:r w:rsidRPr="009202E9">
        <w:rPr>
          <w:rFonts w:ascii="Arial" w:hAnsi="Arial" w:cs="Arial"/>
          <w:bCs/>
        </w:rPr>
        <w:t xml:space="preserve"> </w:t>
      </w:r>
    </w:p>
    <w:p w14:paraId="66915125" w14:textId="77777777" w:rsidR="00424C42" w:rsidRDefault="00424C42" w:rsidP="00424C42">
      <w:pPr>
        <w:numPr>
          <w:ilvl w:val="0"/>
          <w:numId w:val="6"/>
        </w:numPr>
        <w:jc w:val="both"/>
        <w:rPr>
          <w:rFonts w:ascii="Arial" w:hAnsi="Arial" w:cs="Arial"/>
        </w:rPr>
      </w:pPr>
      <w:r w:rsidRPr="002A5B66">
        <w:rPr>
          <w:rFonts w:ascii="Arial" w:hAnsi="Arial" w:cs="Arial"/>
        </w:rPr>
        <w:t>NPRR1</w:t>
      </w:r>
      <w:r>
        <w:rPr>
          <w:rFonts w:ascii="Arial" w:hAnsi="Arial" w:cs="Arial"/>
        </w:rPr>
        <w:t xml:space="preserve">210, </w:t>
      </w:r>
      <w:r w:rsidRPr="00E87FC8">
        <w:rPr>
          <w:rFonts w:ascii="Arial" w:hAnsi="Arial" w:cs="Arial"/>
        </w:rPr>
        <w:t>Next Start Resource Test and Load-Carrying Test Frequency</w:t>
      </w:r>
      <w:r>
        <w:rPr>
          <w:rFonts w:ascii="Arial" w:hAnsi="Arial" w:cs="Arial"/>
        </w:rPr>
        <w:t xml:space="preserve">; </w:t>
      </w:r>
    </w:p>
    <w:p w14:paraId="6FE2EE14" w14:textId="77777777" w:rsidR="00424C42" w:rsidRDefault="00424C42" w:rsidP="00424C42">
      <w:pPr>
        <w:pStyle w:val="ListParagraph"/>
        <w:numPr>
          <w:ilvl w:val="0"/>
          <w:numId w:val="6"/>
        </w:numPr>
        <w:rPr>
          <w:rFonts w:ascii="Arial" w:hAnsi="Arial" w:cs="Arial"/>
          <w:bCs/>
        </w:rPr>
      </w:pPr>
      <w:r w:rsidRPr="009202E9">
        <w:rPr>
          <w:rFonts w:ascii="Arial" w:hAnsi="Arial" w:cs="Arial"/>
          <w:bCs/>
        </w:rPr>
        <w:t>NPRR1211, Move OBD to Section 22 – Methodology for Setting Maximum Shadow Prices for Network and Power Balance Constraints</w:t>
      </w:r>
      <w:r>
        <w:rPr>
          <w:rFonts w:ascii="Arial" w:hAnsi="Arial" w:cs="Arial"/>
          <w:bCs/>
        </w:rPr>
        <w:t>;</w:t>
      </w:r>
      <w:r w:rsidRPr="009202E9">
        <w:rPr>
          <w:rFonts w:ascii="Arial" w:hAnsi="Arial" w:cs="Arial"/>
          <w:bCs/>
        </w:rPr>
        <w:t xml:space="preserve"> </w:t>
      </w:r>
    </w:p>
    <w:p w14:paraId="6FD455D8" w14:textId="77777777" w:rsidR="00424C42" w:rsidRPr="009202E9" w:rsidRDefault="00424C42" w:rsidP="00424C42">
      <w:pPr>
        <w:pStyle w:val="ListParagraph"/>
        <w:numPr>
          <w:ilvl w:val="0"/>
          <w:numId w:val="6"/>
        </w:numPr>
        <w:rPr>
          <w:rFonts w:ascii="Arial" w:hAnsi="Arial" w:cs="Arial"/>
          <w:bCs/>
        </w:rPr>
      </w:pPr>
      <w:r>
        <w:rPr>
          <w:rFonts w:ascii="Arial" w:hAnsi="Arial" w:cs="Arial"/>
        </w:rPr>
        <w:t xml:space="preserve">NPRR1213, </w:t>
      </w:r>
      <w:r w:rsidRPr="00406301">
        <w:rPr>
          <w:rFonts w:ascii="Arial" w:hAnsi="Arial" w:cs="Arial"/>
        </w:rPr>
        <w:t>Allow DGRs and DESRs on Circuits Subject to Load Shed to Provide ECRS and Clarify Language Regarding DGRs and DESRs Providing Non-Spin</w:t>
      </w:r>
      <w:r>
        <w:rPr>
          <w:rFonts w:ascii="Arial" w:hAnsi="Arial" w:cs="Arial"/>
        </w:rPr>
        <w:t>;</w:t>
      </w:r>
    </w:p>
    <w:p w14:paraId="3FEE44EB" w14:textId="77777777" w:rsidR="00424C42" w:rsidRDefault="00424C42" w:rsidP="00424C42">
      <w:pPr>
        <w:pStyle w:val="ListParagraph"/>
        <w:numPr>
          <w:ilvl w:val="0"/>
          <w:numId w:val="6"/>
        </w:numPr>
        <w:rPr>
          <w:rFonts w:ascii="Arial" w:hAnsi="Arial" w:cs="Arial"/>
          <w:bCs/>
        </w:rPr>
      </w:pPr>
      <w:r>
        <w:rPr>
          <w:rFonts w:ascii="Arial" w:hAnsi="Arial" w:cs="Arial"/>
          <w:bCs/>
        </w:rPr>
        <w:t xml:space="preserve">LPGRR074, </w:t>
      </w:r>
      <w:r w:rsidRPr="00C31F68">
        <w:rPr>
          <w:rFonts w:ascii="Arial" w:hAnsi="Arial" w:cs="Arial"/>
          <w:bCs/>
        </w:rPr>
        <w:tab/>
        <w:t>Align Definitions of IDRRQ, LRG, and LRGDG</w:t>
      </w:r>
      <w:r>
        <w:rPr>
          <w:rFonts w:ascii="Arial" w:hAnsi="Arial" w:cs="Arial"/>
          <w:bCs/>
        </w:rPr>
        <w:t>;</w:t>
      </w:r>
    </w:p>
    <w:p w14:paraId="32D6B22E" w14:textId="77777777" w:rsidR="00424C42" w:rsidRDefault="00424C42" w:rsidP="00424C42">
      <w:pPr>
        <w:pStyle w:val="ListParagraph"/>
        <w:numPr>
          <w:ilvl w:val="0"/>
          <w:numId w:val="6"/>
        </w:numPr>
        <w:rPr>
          <w:rFonts w:ascii="Arial" w:hAnsi="Arial" w:cs="Arial"/>
          <w:bCs/>
        </w:rPr>
      </w:pPr>
      <w:r>
        <w:rPr>
          <w:rFonts w:ascii="Arial" w:hAnsi="Arial" w:cs="Arial"/>
          <w:bCs/>
        </w:rPr>
        <w:t xml:space="preserve">NOGRR261, </w:t>
      </w:r>
      <w:r w:rsidRPr="00C31F68">
        <w:rPr>
          <w:rFonts w:ascii="Arial" w:hAnsi="Arial" w:cs="Arial"/>
          <w:bCs/>
        </w:rPr>
        <w:t>Move OBD to Section 8 – Procedure for Calculating RRS Limits for Individual Resources</w:t>
      </w:r>
      <w:r>
        <w:rPr>
          <w:rFonts w:ascii="Arial" w:hAnsi="Arial" w:cs="Arial"/>
          <w:bCs/>
        </w:rPr>
        <w:t>;</w:t>
      </w:r>
    </w:p>
    <w:p w14:paraId="717E5B23" w14:textId="77777777" w:rsidR="00424C42" w:rsidRDefault="00424C42" w:rsidP="00424C42">
      <w:pPr>
        <w:pStyle w:val="ListParagraph"/>
        <w:numPr>
          <w:ilvl w:val="0"/>
          <w:numId w:val="6"/>
        </w:numPr>
        <w:rPr>
          <w:rFonts w:ascii="Arial" w:hAnsi="Arial" w:cs="Arial"/>
          <w:bCs/>
        </w:rPr>
      </w:pPr>
      <w:r>
        <w:rPr>
          <w:rFonts w:ascii="Arial" w:hAnsi="Arial" w:cs="Arial"/>
          <w:bCs/>
        </w:rPr>
        <w:t xml:space="preserve">PGRR109, </w:t>
      </w:r>
      <w:r w:rsidRPr="00C31F68">
        <w:rPr>
          <w:rFonts w:ascii="Arial" w:hAnsi="Arial" w:cs="Arial"/>
          <w:bCs/>
        </w:rPr>
        <w:t>Dynamic Model Review Process Improvement for Inverter-Based Resource (IBR) Modification</w:t>
      </w:r>
      <w:r>
        <w:rPr>
          <w:rFonts w:ascii="Arial" w:hAnsi="Arial" w:cs="Arial"/>
          <w:bCs/>
        </w:rPr>
        <w:t>;</w:t>
      </w:r>
    </w:p>
    <w:p w14:paraId="177B320C" w14:textId="71EBA4A7" w:rsidR="00424C42" w:rsidRDefault="00424C42" w:rsidP="00424C42">
      <w:pPr>
        <w:pStyle w:val="ListParagraph"/>
        <w:numPr>
          <w:ilvl w:val="0"/>
          <w:numId w:val="6"/>
        </w:numPr>
        <w:rPr>
          <w:rFonts w:ascii="Arial" w:hAnsi="Arial" w:cs="Arial"/>
          <w:bCs/>
        </w:rPr>
      </w:pPr>
      <w:r>
        <w:rPr>
          <w:rFonts w:ascii="Arial" w:hAnsi="Arial" w:cs="Arial"/>
          <w:bCs/>
        </w:rPr>
        <w:t>RMGRR179,</w:t>
      </w:r>
      <w:r>
        <w:t xml:space="preserve"> </w:t>
      </w:r>
      <w:r w:rsidRPr="00C31F68">
        <w:rPr>
          <w:rFonts w:ascii="Arial" w:hAnsi="Arial" w:cs="Arial"/>
          <w:bCs/>
        </w:rPr>
        <w:t>TDSP Temporary Emergency Electric Energy Facility (TEEEF) Deployment Transactional Processing</w:t>
      </w:r>
      <w:r w:rsidR="00807A4F">
        <w:rPr>
          <w:rFonts w:ascii="Arial" w:hAnsi="Arial" w:cs="Arial"/>
          <w:bCs/>
        </w:rPr>
        <w:t xml:space="preserve"> – URGENT;</w:t>
      </w:r>
    </w:p>
    <w:p w14:paraId="6C3BB23A" w14:textId="77777777" w:rsidR="00424C42" w:rsidRDefault="00424C42" w:rsidP="00424C42">
      <w:pPr>
        <w:pStyle w:val="ListParagraph"/>
        <w:numPr>
          <w:ilvl w:val="0"/>
          <w:numId w:val="6"/>
        </w:numPr>
        <w:rPr>
          <w:rFonts w:ascii="Arial" w:hAnsi="Arial" w:cs="Arial"/>
          <w:bCs/>
        </w:rPr>
      </w:pPr>
      <w:r w:rsidRPr="009202E9">
        <w:rPr>
          <w:rFonts w:ascii="Arial" w:hAnsi="Arial" w:cs="Arial"/>
          <w:bCs/>
        </w:rPr>
        <w:t>SCR825, ERCOT Voice Communications Aggregation</w:t>
      </w:r>
      <w:r>
        <w:rPr>
          <w:rFonts w:ascii="Arial" w:hAnsi="Arial" w:cs="Arial"/>
          <w:bCs/>
        </w:rPr>
        <w:t>;</w:t>
      </w:r>
      <w:r w:rsidRPr="009202E9">
        <w:rPr>
          <w:rFonts w:ascii="Arial" w:hAnsi="Arial" w:cs="Arial"/>
          <w:bCs/>
        </w:rPr>
        <w:t xml:space="preserve"> </w:t>
      </w:r>
    </w:p>
    <w:p w14:paraId="493139EE" w14:textId="77777777" w:rsidR="00424C42" w:rsidRDefault="00424C42" w:rsidP="00424C42">
      <w:pPr>
        <w:pStyle w:val="ListParagraph"/>
        <w:numPr>
          <w:ilvl w:val="0"/>
          <w:numId w:val="6"/>
        </w:numPr>
        <w:rPr>
          <w:rFonts w:ascii="Arial" w:hAnsi="Arial" w:cs="Arial"/>
          <w:bCs/>
        </w:rPr>
      </w:pPr>
      <w:r>
        <w:rPr>
          <w:rFonts w:ascii="Arial" w:hAnsi="Arial" w:cs="Arial"/>
          <w:bCs/>
        </w:rPr>
        <w:t xml:space="preserve">SMOGRR027, </w:t>
      </w:r>
      <w:r w:rsidRPr="00C31F68">
        <w:rPr>
          <w:rFonts w:ascii="Arial" w:hAnsi="Arial" w:cs="Arial"/>
          <w:bCs/>
        </w:rPr>
        <w:t>Move OBD to Settlement Metering Operating Guide – EPS Metering Design Proposal</w:t>
      </w:r>
      <w:r>
        <w:rPr>
          <w:rFonts w:ascii="Arial" w:hAnsi="Arial" w:cs="Arial"/>
          <w:bCs/>
        </w:rPr>
        <w:t>; and</w:t>
      </w:r>
    </w:p>
    <w:p w14:paraId="008837CE" w14:textId="77777777" w:rsidR="00424C42" w:rsidRPr="008E54C3" w:rsidRDefault="00424C42" w:rsidP="00424C42">
      <w:pPr>
        <w:pStyle w:val="ListParagraph"/>
        <w:numPr>
          <w:ilvl w:val="0"/>
          <w:numId w:val="6"/>
        </w:numPr>
        <w:rPr>
          <w:rFonts w:ascii="Arial" w:hAnsi="Arial" w:cs="Arial"/>
          <w:bCs/>
        </w:rPr>
      </w:pPr>
      <w:r>
        <w:rPr>
          <w:rFonts w:ascii="Arial" w:hAnsi="Arial" w:cs="Arial"/>
          <w:bCs/>
        </w:rPr>
        <w:t xml:space="preserve">SMOGRR030, </w:t>
      </w:r>
      <w:r w:rsidRPr="00C31F68">
        <w:rPr>
          <w:rFonts w:ascii="Arial" w:hAnsi="Arial" w:cs="Arial"/>
          <w:bCs/>
        </w:rPr>
        <w:t>Move OBD to Settlement Metering Operating Guide – EPS Metering Facility Temporary Exemption Request Application Form</w:t>
      </w:r>
      <w:r>
        <w:rPr>
          <w:rFonts w:ascii="Arial" w:hAnsi="Arial" w:cs="Arial"/>
          <w:bCs/>
        </w:rPr>
        <w:t>.</w:t>
      </w:r>
    </w:p>
    <w:p w14:paraId="688A58D3" w14:textId="77777777" w:rsidR="00A36B23" w:rsidRPr="00A36B23" w:rsidRDefault="00A36B23" w:rsidP="00A36B23">
      <w:pPr>
        <w:pStyle w:val="ListParagraph"/>
        <w:rPr>
          <w:rFonts w:ascii="Arial" w:hAnsi="Arial" w:cs="Arial"/>
          <w:bCs/>
        </w:rPr>
      </w:pPr>
    </w:p>
    <w:p w14:paraId="61D78146" w14:textId="7925BFE6" w:rsidR="00ED5B34" w:rsidRPr="00840B53" w:rsidRDefault="00307699" w:rsidP="00840B53">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the Board</w:t>
      </w:r>
      <w:r w:rsidRPr="00F47DEE">
        <w:rPr>
          <w:rFonts w:ascii="Arial" w:hAnsi="Arial" w:cs="Arial"/>
        </w:rPr>
        <w:t xml:space="preserve"> hereby </w:t>
      </w:r>
      <w:r w:rsidR="00CD2CB1">
        <w:rPr>
          <w:rFonts w:ascii="Arial" w:hAnsi="Arial" w:cs="Arial"/>
        </w:rPr>
        <w:t>recommends approval of</w:t>
      </w:r>
      <w:r w:rsidR="00783C94" w:rsidRPr="00F47DEE">
        <w:rPr>
          <w:rFonts w:ascii="Arial" w:hAnsi="Arial" w:cs="Arial"/>
        </w:rPr>
        <w:t xml:space="preserve"> </w:t>
      </w:r>
      <w:r w:rsidR="00424C42">
        <w:rPr>
          <w:rFonts w:ascii="Arial" w:hAnsi="Arial" w:cs="Arial"/>
          <w:bCs/>
        </w:rPr>
        <w:t xml:space="preserve">NPRRs 1170, 1179, 1193, 1195, 1199, 1206, 1207, 1208, 1210, 1211, </w:t>
      </w:r>
      <w:r w:rsidR="00310F14">
        <w:rPr>
          <w:rFonts w:ascii="Arial" w:hAnsi="Arial" w:cs="Arial"/>
          <w:bCs/>
        </w:rPr>
        <w:t xml:space="preserve">and </w:t>
      </w:r>
      <w:r w:rsidR="00424C42">
        <w:rPr>
          <w:rFonts w:ascii="Arial" w:hAnsi="Arial" w:cs="Arial"/>
          <w:bCs/>
        </w:rPr>
        <w:t>1213; LPGRR074; NOGRR261; PGRR109; RMGRR179; SCR825; and SMOGRRs 027 and 030</w:t>
      </w:r>
      <w:r w:rsidR="00874727">
        <w:rPr>
          <w:rFonts w:ascii="Arial" w:hAnsi="Arial" w:cs="Arial"/>
          <w:bCs/>
        </w:rPr>
        <w:t xml:space="preserve">.  </w:t>
      </w:r>
    </w:p>
    <w:p w14:paraId="75DA359F" w14:textId="77777777" w:rsidR="008A7900" w:rsidRDefault="008A7900" w:rsidP="00A62562">
      <w:pPr>
        <w:jc w:val="center"/>
        <w:rPr>
          <w:rFonts w:ascii="Arial" w:hAnsi="Arial" w:cs="Arial"/>
          <w:b/>
          <w:u w:val="single"/>
        </w:rPr>
      </w:pPr>
    </w:p>
    <w:p w14:paraId="1D9E9959" w14:textId="5A0B12B9" w:rsidR="00307699" w:rsidRPr="00F47DEE" w:rsidRDefault="00307699" w:rsidP="00A62562">
      <w:pPr>
        <w:jc w:val="center"/>
        <w:rPr>
          <w:rFonts w:ascii="Arial" w:hAnsi="Arial" w:cs="Arial"/>
        </w:rPr>
      </w:pPr>
      <w:r w:rsidRPr="00F47DEE">
        <w:rPr>
          <w:rFonts w:ascii="Arial" w:hAnsi="Arial" w:cs="Arial"/>
          <w:b/>
          <w:u w:val="single"/>
        </w:rPr>
        <w:t>CORPORATE SECRETARY’S CERTIFICATE</w:t>
      </w:r>
    </w:p>
    <w:p w14:paraId="686DB49C" w14:textId="77777777" w:rsidR="00307699" w:rsidRPr="00F47DEE" w:rsidRDefault="00307699" w:rsidP="00E74E4C">
      <w:pPr>
        <w:rPr>
          <w:rFonts w:ascii="Arial" w:hAnsi="Arial" w:cs="Arial"/>
        </w:rPr>
      </w:pPr>
    </w:p>
    <w:p w14:paraId="53B6B73D" w14:textId="71743529" w:rsidR="00307699" w:rsidRPr="00F47DEE" w:rsidRDefault="00307699" w:rsidP="00A62562">
      <w:pPr>
        <w:jc w:val="both"/>
        <w:rPr>
          <w:rFonts w:ascii="Arial" w:hAnsi="Arial" w:cs="Arial"/>
        </w:rPr>
      </w:pPr>
      <w:bookmarkStart w:id="5" w:name="_Hlk83889011"/>
      <w:r w:rsidRPr="00F47DEE">
        <w:rPr>
          <w:rFonts w:ascii="Arial" w:hAnsi="Arial" w:cs="Arial"/>
        </w:rPr>
        <w:t xml:space="preserve">I, </w:t>
      </w:r>
      <w:r w:rsidR="003A5D94">
        <w:rPr>
          <w:rFonts w:ascii="Arial" w:hAnsi="Arial" w:cs="Arial"/>
        </w:rPr>
        <w:t>Jonathan M. Levine</w:t>
      </w:r>
      <w:r w:rsidRPr="00F47DEE">
        <w:rPr>
          <w:rFonts w:ascii="Arial" w:hAnsi="Arial" w:cs="Arial"/>
        </w:rPr>
        <w:t>,</w:t>
      </w:r>
      <w:r w:rsidR="00B134D0" w:rsidRPr="00F47DEE">
        <w:rPr>
          <w:rFonts w:ascii="Arial" w:hAnsi="Arial" w:cs="Arial"/>
        </w:rPr>
        <w:t xml:space="preserve"> </w:t>
      </w:r>
      <w:r w:rsidR="00A62562" w:rsidRPr="00F47DEE">
        <w:rPr>
          <w:rFonts w:ascii="Arial" w:hAnsi="Arial" w:cs="Arial"/>
        </w:rPr>
        <w:t xml:space="preserve">Assistant </w:t>
      </w:r>
      <w:r w:rsidRPr="00F47DEE">
        <w:rPr>
          <w:rFonts w:ascii="Arial" w:hAnsi="Arial" w:cs="Arial"/>
        </w:rPr>
        <w:t xml:space="preserve">Corporate Secretary of ERCOT, do hereby certify that, at its </w:t>
      </w:r>
      <w:r w:rsidR="00424C42">
        <w:rPr>
          <w:rFonts w:ascii="Arial" w:hAnsi="Arial" w:cs="Arial"/>
        </w:rPr>
        <w:t>February 27</w:t>
      </w:r>
      <w:r w:rsidR="001F1D16">
        <w:rPr>
          <w:rFonts w:ascii="Arial" w:hAnsi="Arial" w:cs="Arial"/>
        </w:rPr>
        <w:t>, 202</w:t>
      </w:r>
      <w:r w:rsidR="00424C42">
        <w:rPr>
          <w:rFonts w:ascii="Arial" w:hAnsi="Arial" w:cs="Arial"/>
        </w:rPr>
        <w:t>4</w:t>
      </w:r>
      <w:r w:rsidR="00783C94" w:rsidRPr="00F47DEE">
        <w:rPr>
          <w:rFonts w:ascii="Arial" w:hAnsi="Arial" w:cs="Arial"/>
        </w:rPr>
        <w:t xml:space="preserve"> </w:t>
      </w:r>
      <w:r w:rsidRPr="00F47DEE">
        <w:rPr>
          <w:rFonts w:ascii="Arial" w:hAnsi="Arial" w:cs="Arial"/>
        </w:rPr>
        <w:t>meeting, the Board passed a motion approving the above Resolution by ______.</w:t>
      </w:r>
    </w:p>
    <w:p w14:paraId="23A06E96" w14:textId="77777777" w:rsidR="00307699" w:rsidRPr="00F47DEE" w:rsidRDefault="00307699" w:rsidP="00A62562">
      <w:pPr>
        <w:jc w:val="both"/>
        <w:rPr>
          <w:rFonts w:ascii="Arial" w:hAnsi="Arial" w:cs="Arial"/>
        </w:rPr>
      </w:pPr>
    </w:p>
    <w:p w14:paraId="5CBF38A6" w14:textId="0D23B52B" w:rsidR="00307699" w:rsidRPr="00F47DEE" w:rsidRDefault="00307699" w:rsidP="00A62562">
      <w:pPr>
        <w:jc w:val="both"/>
        <w:rPr>
          <w:rFonts w:ascii="Arial" w:hAnsi="Arial" w:cs="Arial"/>
        </w:rPr>
      </w:pPr>
      <w:r w:rsidRPr="00F47DEE">
        <w:rPr>
          <w:rFonts w:ascii="Arial" w:hAnsi="Arial" w:cs="Arial"/>
        </w:rPr>
        <w:t>IN WITNESS WHEREOF, I have hereunto set my hand this ___ day of</w:t>
      </w:r>
      <w:r w:rsidR="00806F76">
        <w:rPr>
          <w:rFonts w:ascii="Arial" w:hAnsi="Arial" w:cs="Arial"/>
        </w:rPr>
        <w:t xml:space="preserve"> </w:t>
      </w:r>
      <w:r w:rsidR="00424C42">
        <w:rPr>
          <w:rFonts w:ascii="Arial" w:hAnsi="Arial" w:cs="Arial"/>
        </w:rPr>
        <w:t>February, 2024</w:t>
      </w:r>
      <w:r w:rsidRPr="00F47DEE">
        <w:rPr>
          <w:rFonts w:ascii="Arial" w:hAnsi="Arial" w:cs="Arial"/>
        </w:rPr>
        <w:t>.</w:t>
      </w:r>
    </w:p>
    <w:p w14:paraId="2EED0F13" w14:textId="77777777" w:rsidR="00307699" w:rsidRPr="00F47DEE" w:rsidRDefault="00307699" w:rsidP="00A62562">
      <w:pPr>
        <w:jc w:val="both"/>
        <w:rPr>
          <w:rFonts w:ascii="Arial" w:hAnsi="Arial" w:cs="Arial"/>
        </w:rPr>
      </w:pPr>
    </w:p>
    <w:p w14:paraId="57680C6A" w14:textId="77777777" w:rsidR="00307699" w:rsidRPr="00F47DEE" w:rsidRDefault="00307699" w:rsidP="00A62562">
      <w:pPr>
        <w:jc w:val="both"/>
        <w:rPr>
          <w:rFonts w:ascii="Arial" w:hAnsi="Arial" w:cs="Arial"/>
        </w:rPr>
      </w:pPr>
    </w:p>
    <w:p w14:paraId="4DB12768" w14:textId="77777777" w:rsidR="00307699" w:rsidRPr="00F47DEE" w:rsidRDefault="00307699" w:rsidP="00A62562">
      <w:pPr>
        <w:jc w:val="both"/>
        <w:rPr>
          <w:rFonts w:ascii="Arial" w:hAnsi="Arial" w:cs="Arial"/>
        </w:rPr>
      </w:pPr>
      <w:r w:rsidRPr="00F47DEE">
        <w:rPr>
          <w:rFonts w:ascii="Arial" w:hAnsi="Arial" w:cs="Arial"/>
        </w:rPr>
        <w:t>______________________________</w:t>
      </w:r>
    </w:p>
    <w:p w14:paraId="2041A603" w14:textId="6158D7C2" w:rsidR="00307699" w:rsidRPr="00F47DEE" w:rsidRDefault="003A5D94" w:rsidP="00A62562">
      <w:pPr>
        <w:jc w:val="both"/>
        <w:rPr>
          <w:rFonts w:ascii="Arial" w:hAnsi="Arial" w:cs="Arial"/>
        </w:rPr>
      </w:pPr>
      <w:r>
        <w:rPr>
          <w:rFonts w:ascii="Arial" w:hAnsi="Arial" w:cs="Arial"/>
        </w:rPr>
        <w:t>Jonathan M. Levine</w:t>
      </w:r>
    </w:p>
    <w:p w14:paraId="118A83C7" w14:textId="77777777" w:rsidR="00A00C66" w:rsidRPr="00F47DEE" w:rsidRDefault="00A62562" w:rsidP="00A62562">
      <w:pPr>
        <w:rPr>
          <w:rFonts w:ascii="Arial" w:hAnsi="Arial" w:cs="Arial"/>
          <w:u w:val="single"/>
        </w:rPr>
      </w:pPr>
      <w:r w:rsidRPr="00F47DEE">
        <w:rPr>
          <w:rFonts w:ascii="Arial" w:hAnsi="Arial" w:cs="Arial"/>
        </w:rPr>
        <w:t xml:space="preserve">Assistant </w:t>
      </w:r>
      <w:r w:rsidR="00307699" w:rsidRPr="00F47DEE">
        <w:rPr>
          <w:rFonts w:ascii="Arial" w:hAnsi="Arial" w:cs="Arial"/>
        </w:rPr>
        <w:t>Corporate Secretary</w:t>
      </w:r>
      <w:bookmarkEnd w:id="5"/>
    </w:p>
    <w:sectPr w:rsidR="00A00C66" w:rsidRPr="00F47DEE" w:rsidSect="00A02B92">
      <w:headerReference w:type="even" r:id="rId13"/>
      <w:headerReference w:type="default" r:id="rId14"/>
      <w:footerReference w:type="even" r:id="rId15"/>
      <w:footerReference w:type="default" r:id="rId16"/>
      <w:headerReference w:type="first" r:id="rId17"/>
      <w:footerReference w:type="first" r:id="rId18"/>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E7528" w14:textId="77777777" w:rsidR="00DE31FF" w:rsidRDefault="00DE31FF">
      <w:r>
        <w:separator/>
      </w:r>
    </w:p>
  </w:endnote>
  <w:endnote w:type="continuationSeparator" w:id="0">
    <w:p w14:paraId="36351148" w14:textId="77777777" w:rsidR="00DE31FF" w:rsidRDefault="00DE3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457B1" w14:textId="77777777" w:rsidR="009D5805" w:rsidRDefault="009D58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2125" w14:textId="2ED4B6E0"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78644C">
      <w:rPr>
        <w:rFonts w:ascii="Arial" w:hAnsi="Arial" w:cs="Arial"/>
        <w:sz w:val="20"/>
        <w:szCs w:val="20"/>
      </w:rPr>
      <w:t>4</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2F3E01">
      <w:rPr>
        <w:rStyle w:val="PageNumber"/>
        <w:rFonts w:ascii="Arial" w:hAnsi="Arial" w:cs="Arial"/>
        <w:noProof/>
        <w:sz w:val="20"/>
        <w:szCs w:val="20"/>
      </w:rPr>
      <w:t>6</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43292" w14:textId="77777777" w:rsidR="009D5805" w:rsidRDefault="009D58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1DF72" w14:textId="77777777" w:rsidR="00DE31FF" w:rsidRDefault="00DE31FF">
      <w:r>
        <w:separator/>
      </w:r>
    </w:p>
  </w:footnote>
  <w:footnote w:type="continuationSeparator" w:id="0">
    <w:p w14:paraId="61649546" w14:textId="77777777" w:rsidR="00DE31FF" w:rsidRDefault="00DE3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B960D" w14:textId="77777777" w:rsidR="009D5805" w:rsidRDefault="009D58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AC624" w14:textId="77777777" w:rsidR="009D5805" w:rsidRDefault="009D58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17D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AA3F0E"/>
    <w:multiLevelType w:val="hybridMultilevel"/>
    <w:tmpl w:val="551E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431878"/>
    <w:multiLevelType w:val="hybridMultilevel"/>
    <w:tmpl w:val="BA5CD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45030896">
    <w:abstractNumId w:val="6"/>
  </w:num>
  <w:num w:numId="2" w16cid:durableId="2104840980">
    <w:abstractNumId w:val="4"/>
  </w:num>
  <w:num w:numId="3" w16cid:durableId="2011786840">
    <w:abstractNumId w:val="2"/>
  </w:num>
  <w:num w:numId="4" w16cid:durableId="396318308">
    <w:abstractNumId w:val="2"/>
  </w:num>
  <w:num w:numId="5" w16cid:durableId="1508405590">
    <w:abstractNumId w:val="2"/>
  </w:num>
  <w:num w:numId="6" w16cid:durableId="157112245">
    <w:abstractNumId w:val="1"/>
  </w:num>
  <w:num w:numId="7" w16cid:durableId="946497244">
    <w:abstractNumId w:val="2"/>
  </w:num>
  <w:num w:numId="8" w16cid:durableId="1730575501">
    <w:abstractNumId w:val="2"/>
  </w:num>
  <w:num w:numId="9" w16cid:durableId="674915289">
    <w:abstractNumId w:val="2"/>
  </w:num>
  <w:num w:numId="10" w16cid:durableId="553662800">
    <w:abstractNumId w:val="3"/>
  </w:num>
  <w:num w:numId="11" w16cid:durableId="418840901">
    <w:abstractNumId w:val="0"/>
  </w:num>
  <w:num w:numId="12" w16cid:durableId="1462768437">
    <w:abstractNumId w:val="5"/>
  </w:num>
  <w:num w:numId="13" w16cid:durableId="2052336043">
    <w:abstractNumId w:val="2"/>
  </w:num>
  <w:num w:numId="14" w16cid:durableId="1242907861">
    <w:abstractNumId w:val="2"/>
  </w:num>
  <w:num w:numId="15" w16cid:durableId="1213271627">
    <w:abstractNumId w:val="2"/>
  </w:num>
  <w:num w:numId="16" w16cid:durableId="279411379">
    <w:abstractNumId w:val="2"/>
  </w:num>
  <w:num w:numId="17" w16cid:durableId="886647929">
    <w:abstractNumId w:val="2"/>
  </w:num>
  <w:num w:numId="18" w16cid:durableId="642542165">
    <w:abstractNumId w:val="2"/>
  </w:num>
  <w:num w:numId="19" w16cid:durableId="2095127649">
    <w:abstractNumId w:val="2"/>
  </w:num>
  <w:num w:numId="20" w16cid:durableId="1612318296">
    <w:abstractNumId w:val="2"/>
  </w:num>
  <w:num w:numId="21" w16cid:durableId="1722745350">
    <w:abstractNumId w:val="2"/>
  </w:num>
  <w:num w:numId="22" w16cid:durableId="270356199">
    <w:abstractNumId w:val="2"/>
  </w:num>
  <w:num w:numId="23" w16cid:durableId="59732395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B72"/>
    <w:rsid w:val="000007BA"/>
    <w:rsid w:val="00001E21"/>
    <w:rsid w:val="000036BB"/>
    <w:rsid w:val="00004487"/>
    <w:rsid w:val="000051FF"/>
    <w:rsid w:val="0000685D"/>
    <w:rsid w:val="00011386"/>
    <w:rsid w:val="000120EB"/>
    <w:rsid w:val="000154BD"/>
    <w:rsid w:val="00015E19"/>
    <w:rsid w:val="00016A1B"/>
    <w:rsid w:val="00017A28"/>
    <w:rsid w:val="00024977"/>
    <w:rsid w:val="000256EA"/>
    <w:rsid w:val="00026241"/>
    <w:rsid w:val="00026FB9"/>
    <w:rsid w:val="000337B1"/>
    <w:rsid w:val="00034CF1"/>
    <w:rsid w:val="000377DE"/>
    <w:rsid w:val="00040564"/>
    <w:rsid w:val="00044D50"/>
    <w:rsid w:val="0004503D"/>
    <w:rsid w:val="00045831"/>
    <w:rsid w:val="00045D4C"/>
    <w:rsid w:val="00046A1D"/>
    <w:rsid w:val="00051010"/>
    <w:rsid w:val="00051197"/>
    <w:rsid w:val="00052530"/>
    <w:rsid w:val="00053A80"/>
    <w:rsid w:val="000548AB"/>
    <w:rsid w:val="00054C49"/>
    <w:rsid w:val="00056974"/>
    <w:rsid w:val="0005733B"/>
    <w:rsid w:val="00060E2C"/>
    <w:rsid w:val="00063292"/>
    <w:rsid w:val="000645B9"/>
    <w:rsid w:val="00065391"/>
    <w:rsid w:val="000675EE"/>
    <w:rsid w:val="0007563D"/>
    <w:rsid w:val="00075B7E"/>
    <w:rsid w:val="00077EA4"/>
    <w:rsid w:val="00082104"/>
    <w:rsid w:val="00082927"/>
    <w:rsid w:val="000855B6"/>
    <w:rsid w:val="00086F1B"/>
    <w:rsid w:val="00087484"/>
    <w:rsid w:val="0009016F"/>
    <w:rsid w:val="000911B2"/>
    <w:rsid w:val="00097D65"/>
    <w:rsid w:val="000A13A3"/>
    <w:rsid w:val="000A18AB"/>
    <w:rsid w:val="000A19DA"/>
    <w:rsid w:val="000A48DE"/>
    <w:rsid w:val="000A5BBD"/>
    <w:rsid w:val="000B2034"/>
    <w:rsid w:val="000B4B47"/>
    <w:rsid w:val="000B4BAF"/>
    <w:rsid w:val="000C032F"/>
    <w:rsid w:val="000C33F5"/>
    <w:rsid w:val="000C58FD"/>
    <w:rsid w:val="000C6342"/>
    <w:rsid w:val="000C75E1"/>
    <w:rsid w:val="000D0DC4"/>
    <w:rsid w:val="000D1079"/>
    <w:rsid w:val="000D342A"/>
    <w:rsid w:val="000D7300"/>
    <w:rsid w:val="000E04CB"/>
    <w:rsid w:val="000E0A9E"/>
    <w:rsid w:val="000E1721"/>
    <w:rsid w:val="000E187D"/>
    <w:rsid w:val="000E59F3"/>
    <w:rsid w:val="000E5E74"/>
    <w:rsid w:val="000E7888"/>
    <w:rsid w:val="000F0627"/>
    <w:rsid w:val="000F10BC"/>
    <w:rsid w:val="000F2CE5"/>
    <w:rsid w:val="00101726"/>
    <w:rsid w:val="00102820"/>
    <w:rsid w:val="00105190"/>
    <w:rsid w:val="00106D03"/>
    <w:rsid w:val="001116AC"/>
    <w:rsid w:val="001126E9"/>
    <w:rsid w:val="00115A4B"/>
    <w:rsid w:val="00115CD3"/>
    <w:rsid w:val="00120276"/>
    <w:rsid w:val="00121443"/>
    <w:rsid w:val="00121DEB"/>
    <w:rsid w:val="001222DA"/>
    <w:rsid w:val="001237B5"/>
    <w:rsid w:val="00124066"/>
    <w:rsid w:val="00125C47"/>
    <w:rsid w:val="00126BEE"/>
    <w:rsid w:val="00134E7B"/>
    <w:rsid w:val="00135295"/>
    <w:rsid w:val="00137034"/>
    <w:rsid w:val="001376A6"/>
    <w:rsid w:val="0014296B"/>
    <w:rsid w:val="0014324E"/>
    <w:rsid w:val="00144931"/>
    <w:rsid w:val="00144D0D"/>
    <w:rsid w:val="00145967"/>
    <w:rsid w:val="00153255"/>
    <w:rsid w:val="00160B04"/>
    <w:rsid w:val="0016137C"/>
    <w:rsid w:val="0016208F"/>
    <w:rsid w:val="00162B9A"/>
    <w:rsid w:val="00162D68"/>
    <w:rsid w:val="00164F07"/>
    <w:rsid w:val="00167741"/>
    <w:rsid w:val="0016787F"/>
    <w:rsid w:val="0017040E"/>
    <w:rsid w:val="00170611"/>
    <w:rsid w:val="00176B43"/>
    <w:rsid w:val="0017761E"/>
    <w:rsid w:val="00177EE8"/>
    <w:rsid w:val="001817EA"/>
    <w:rsid w:val="00181AD3"/>
    <w:rsid w:val="00192D23"/>
    <w:rsid w:val="00194488"/>
    <w:rsid w:val="0019529A"/>
    <w:rsid w:val="00197003"/>
    <w:rsid w:val="001A003B"/>
    <w:rsid w:val="001A0DEC"/>
    <w:rsid w:val="001A2306"/>
    <w:rsid w:val="001A42C2"/>
    <w:rsid w:val="001A47C7"/>
    <w:rsid w:val="001A4C11"/>
    <w:rsid w:val="001A5A75"/>
    <w:rsid w:val="001B20AA"/>
    <w:rsid w:val="001B5C7C"/>
    <w:rsid w:val="001C4610"/>
    <w:rsid w:val="001C6CE7"/>
    <w:rsid w:val="001C70A7"/>
    <w:rsid w:val="001C7524"/>
    <w:rsid w:val="001D0147"/>
    <w:rsid w:val="001D02D5"/>
    <w:rsid w:val="001D07BD"/>
    <w:rsid w:val="001D2591"/>
    <w:rsid w:val="001D4A77"/>
    <w:rsid w:val="001D6482"/>
    <w:rsid w:val="001D66D1"/>
    <w:rsid w:val="001D6B9D"/>
    <w:rsid w:val="001D7379"/>
    <w:rsid w:val="001D7428"/>
    <w:rsid w:val="001D7C47"/>
    <w:rsid w:val="001E3085"/>
    <w:rsid w:val="001E458C"/>
    <w:rsid w:val="001E5BA4"/>
    <w:rsid w:val="001E5E53"/>
    <w:rsid w:val="001E62D5"/>
    <w:rsid w:val="001E75DD"/>
    <w:rsid w:val="001F1D16"/>
    <w:rsid w:val="001F28A1"/>
    <w:rsid w:val="001F5C4F"/>
    <w:rsid w:val="001F5F1E"/>
    <w:rsid w:val="001F6408"/>
    <w:rsid w:val="00201CE4"/>
    <w:rsid w:val="00201CFC"/>
    <w:rsid w:val="00202764"/>
    <w:rsid w:val="002038F8"/>
    <w:rsid w:val="00203F64"/>
    <w:rsid w:val="002061A9"/>
    <w:rsid w:val="00206775"/>
    <w:rsid w:val="002109D5"/>
    <w:rsid w:val="00211467"/>
    <w:rsid w:val="0021181A"/>
    <w:rsid w:val="00212ABB"/>
    <w:rsid w:val="002146AC"/>
    <w:rsid w:val="00214EDA"/>
    <w:rsid w:val="00216179"/>
    <w:rsid w:val="00221028"/>
    <w:rsid w:val="0022125A"/>
    <w:rsid w:val="00226D1A"/>
    <w:rsid w:val="0022719A"/>
    <w:rsid w:val="00230813"/>
    <w:rsid w:val="00232BDA"/>
    <w:rsid w:val="00233B14"/>
    <w:rsid w:val="00234403"/>
    <w:rsid w:val="0023477A"/>
    <w:rsid w:val="00234807"/>
    <w:rsid w:val="00234EE2"/>
    <w:rsid w:val="00236ACC"/>
    <w:rsid w:val="00236C57"/>
    <w:rsid w:val="00241738"/>
    <w:rsid w:val="002417B0"/>
    <w:rsid w:val="00242C88"/>
    <w:rsid w:val="002462CB"/>
    <w:rsid w:val="00246938"/>
    <w:rsid w:val="00250349"/>
    <w:rsid w:val="00254440"/>
    <w:rsid w:val="00254EDB"/>
    <w:rsid w:val="00255C29"/>
    <w:rsid w:val="00261280"/>
    <w:rsid w:val="00262FD5"/>
    <w:rsid w:val="00263D94"/>
    <w:rsid w:val="00264652"/>
    <w:rsid w:val="00264B42"/>
    <w:rsid w:val="00264FD8"/>
    <w:rsid w:val="00265CDA"/>
    <w:rsid w:val="00265ECC"/>
    <w:rsid w:val="0027494A"/>
    <w:rsid w:val="00275505"/>
    <w:rsid w:val="00277002"/>
    <w:rsid w:val="002836BA"/>
    <w:rsid w:val="00287414"/>
    <w:rsid w:val="00287971"/>
    <w:rsid w:val="00287EF5"/>
    <w:rsid w:val="00291E00"/>
    <w:rsid w:val="0029470C"/>
    <w:rsid w:val="002958F7"/>
    <w:rsid w:val="00297177"/>
    <w:rsid w:val="002A11B9"/>
    <w:rsid w:val="002A14E8"/>
    <w:rsid w:val="002A2206"/>
    <w:rsid w:val="002A2A08"/>
    <w:rsid w:val="002A395A"/>
    <w:rsid w:val="002A3F2C"/>
    <w:rsid w:val="002A547C"/>
    <w:rsid w:val="002A76E1"/>
    <w:rsid w:val="002B02D1"/>
    <w:rsid w:val="002B041F"/>
    <w:rsid w:val="002B0A51"/>
    <w:rsid w:val="002B20CB"/>
    <w:rsid w:val="002B32D7"/>
    <w:rsid w:val="002B5CEE"/>
    <w:rsid w:val="002C0DB0"/>
    <w:rsid w:val="002C11DB"/>
    <w:rsid w:val="002C223E"/>
    <w:rsid w:val="002C36E8"/>
    <w:rsid w:val="002C3D33"/>
    <w:rsid w:val="002C5C3E"/>
    <w:rsid w:val="002C6DD4"/>
    <w:rsid w:val="002C7B24"/>
    <w:rsid w:val="002C7C9A"/>
    <w:rsid w:val="002D003B"/>
    <w:rsid w:val="002D0DFE"/>
    <w:rsid w:val="002D5E70"/>
    <w:rsid w:val="002D6167"/>
    <w:rsid w:val="002D7E37"/>
    <w:rsid w:val="002E1682"/>
    <w:rsid w:val="002E235F"/>
    <w:rsid w:val="002E2BEF"/>
    <w:rsid w:val="002E3ED2"/>
    <w:rsid w:val="002E4236"/>
    <w:rsid w:val="002E63BA"/>
    <w:rsid w:val="002E7BC5"/>
    <w:rsid w:val="002F3545"/>
    <w:rsid w:val="002F3E01"/>
    <w:rsid w:val="002F4A9E"/>
    <w:rsid w:val="002F4F57"/>
    <w:rsid w:val="002F588E"/>
    <w:rsid w:val="002F5F0E"/>
    <w:rsid w:val="002F736D"/>
    <w:rsid w:val="003013E3"/>
    <w:rsid w:val="00303052"/>
    <w:rsid w:val="00303430"/>
    <w:rsid w:val="003037A7"/>
    <w:rsid w:val="00303AAC"/>
    <w:rsid w:val="00303FF7"/>
    <w:rsid w:val="003048DB"/>
    <w:rsid w:val="00307699"/>
    <w:rsid w:val="00310F14"/>
    <w:rsid w:val="00312202"/>
    <w:rsid w:val="00312315"/>
    <w:rsid w:val="00314547"/>
    <w:rsid w:val="003206AA"/>
    <w:rsid w:val="00324327"/>
    <w:rsid w:val="0032485A"/>
    <w:rsid w:val="00326572"/>
    <w:rsid w:val="00326D54"/>
    <w:rsid w:val="003355F2"/>
    <w:rsid w:val="00341711"/>
    <w:rsid w:val="003421BD"/>
    <w:rsid w:val="00343B46"/>
    <w:rsid w:val="003451E4"/>
    <w:rsid w:val="003460E9"/>
    <w:rsid w:val="00346245"/>
    <w:rsid w:val="003632D1"/>
    <w:rsid w:val="00364431"/>
    <w:rsid w:val="00364918"/>
    <w:rsid w:val="00365D45"/>
    <w:rsid w:val="00370469"/>
    <w:rsid w:val="003712F8"/>
    <w:rsid w:val="003808AF"/>
    <w:rsid w:val="00381767"/>
    <w:rsid w:val="00382736"/>
    <w:rsid w:val="003840DB"/>
    <w:rsid w:val="00391275"/>
    <w:rsid w:val="00391D8B"/>
    <w:rsid w:val="00393759"/>
    <w:rsid w:val="0039433B"/>
    <w:rsid w:val="00394B60"/>
    <w:rsid w:val="003A2348"/>
    <w:rsid w:val="003A3CF8"/>
    <w:rsid w:val="003A5D94"/>
    <w:rsid w:val="003A67BC"/>
    <w:rsid w:val="003B03D6"/>
    <w:rsid w:val="003B143C"/>
    <w:rsid w:val="003B15B4"/>
    <w:rsid w:val="003B4603"/>
    <w:rsid w:val="003B4C72"/>
    <w:rsid w:val="003B7896"/>
    <w:rsid w:val="003C03F0"/>
    <w:rsid w:val="003C12F4"/>
    <w:rsid w:val="003C1AA9"/>
    <w:rsid w:val="003C3608"/>
    <w:rsid w:val="003C40FC"/>
    <w:rsid w:val="003C44F3"/>
    <w:rsid w:val="003C5C26"/>
    <w:rsid w:val="003C7C4F"/>
    <w:rsid w:val="003C7FE2"/>
    <w:rsid w:val="003D1338"/>
    <w:rsid w:val="003D1AE4"/>
    <w:rsid w:val="003D2445"/>
    <w:rsid w:val="003D35EA"/>
    <w:rsid w:val="003D4154"/>
    <w:rsid w:val="003E12A1"/>
    <w:rsid w:val="003E1528"/>
    <w:rsid w:val="003E20F5"/>
    <w:rsid w:val="003E2C24"/>
    <w:rsid w:val="003E2E29"/>
    <w:rsid w:val="003E3095"/>
    <w:rsid w:val="003E3D6E"/>
    <w:rsid w:val="003E4DBF"/>
    <w:rsid w:val="003E6DE3"/>
    <w:rsid w:val="003E702F"/>
    <w:rsid w:val="003E70EA"/>
    <w:rsid w:val="003E7FD1"/>
    <w:rsid w:val="003F1402"/>
    <w:rsid w:val="003F78A5"/>
    <w:rsid w:val="00400D65"/>
    <w:rsid w:val="00403A59"/>
    <w:rsid w:val="00404547"/>
    <w:rsid w:val="004048E8"/>
    <w:rsid w:val="00405C5B"/>
    <w:rsid w:val="00407C3B"/>
    <w:rsid w:val="00410414"/>
    <w:rsid w:val="00412A91"/>
    <w:rsid w:val="00414AD8"/>
    <w:rsid w:val="0042169B"/>
    <w:rsid w:val="0042263F"/>
    <w:rsid w:val="00423242"/>
    <w:rsid w:val="00424C42"/>
    <w:rsid w:val="00424F11"/>
    <w:rsid w:val="004255CC"/>
    <w:rsid w:val="00427FD4"/>
    <w:rsid w:val="004314BB"/>
    <w:rsid w:val="00431FF1"/>
    <w:rsid w:val="00433CA3"/>
    <w:rsid w:val="00435163"/>
    <w:rsid w:val="00436554"/>
    <w:rsid w:val="0043756F"/>
    <w:rsid w:val="00437744"/>
    <w:rsid w:val="00441C2E"/>
    <w:rsid w:val="00441DF5"/>
    <w:rsid w:val="00442B35"/>
    <w:rsid w:val="00442FCF"/>
    <w:rsid w:val="00444D83"/>
    <w:rsid w:val="00446997"/>
    <w:rsid w:val="00451E19"/>
    <w:rsid w:val="00453452"/>
    <w:rsid w:val="004553F9"/>
    <w:rsid w:val="004609AD"/>
    <w:rsid w:val="004634C5"/>
    <w:rsid w:val="00470150"/>
    <w:rsid w:val="004718C1"/>
    <w:rsid w:val="00471C8B"/>
    <w:rsid w:val="00473610"/>
    <w:rsid w:val="0047489E"/>
    <w:rsid w:val="00474DDA"/>
    <w:rsid w:val="00477C7C"/>
    <w:rsid w:val="00484EEE"/>
    <w:rsid w:val="00485E37"/>
    <w:rsid w:val="004869EE"/>
    <w:rsid w:val="004900B1"/>
    <w:rsid w:val="0049181A"/>
    <w:rsid w:val="00492AA9"/>
    <w:rsid w:val="00495B27"/>
    <w:rsid w:val="00495F5C"/>
    <w:rsid w:val="004962E9"/>
    <w:rsid w:val="00496E5D"/>
    <w:rsid w:val="004A3C59"/>
    <w:rsid w:val="004A6820"/>
    <w:rsid w:val="004B0B15"/>
    <w:rsid w:val="004B0D26"/>
    <w:rsid w:val="004B2CBF"/>
    <w:rsid w:val="004B3702"/>
    <w:rsid w:val="004B5682"/>
    <w:rsid w:val="004B644D"/>
    <w:rsid w:val="004B6FF7"/>
    <w:rsid w:val="004B71A8"/>
    <w:rsid w:val="004C021D"/>
    <w:rsid w:val="004C2693"/>
    <w:rsid w:val="004C363E"/>
    <w:rsid w:val="004C4AC4"/>
    <w:rsid w:val="004C57BC"/>
    <w:rsid w:val="004C61E4"/>
    <w:rsid w:val="004C63A8"/>
    <w:rsid w:val="004C647E"/>
    <w:rsid w:val="004C7464"/>
    <w:rsid w:val="004D27AC"/>
    <w:rsid w:val="004D3437"/>
    <w:rsid w:val="004D346B"/>
    <w:rsid w:val="004D42F0"/>
    <w:rsid w:val="004E141D"/>
    <w:rsid w:val="004E1C39"/>
    <w:rsid w:val="004E41B1"/>
    <w:rsid w:val="004E531D"/>
    <w:rsid w:val="004E5DE5"/>
    <w:rsid w:val="004E625A"/>
    <w:rsid w:val="004E6D69"/>
    <w:rsid w:val="004F021F"/>
    <w:rsid w:val="004F3BDD"/>
    <w:rsid w:val="004F3EB1"/>
    <w:rsid w:val="004F41FA"/>
    <w:rsid w:val="004F5858"/>
    <w:rsid w:val="004F65E0"/>
    <w:rsid w:val="004F73E7"/>
    <w:rsid w:val="004F7E08"/>
    <w:rsid w:val="0050578C"/>
    <w:rsid w:val="0050631D"/>
    <w:rsid w:val="00506673"/>
    <w:rsid w:val="00511781"/>
    <w:rsid w:val="005121E2"/>
    <w:rsid w:val="0051232E"/>
    <w:rsid w:val="005129CB"/>
    <w:rsid w:val="00513026"/>
    <w:rsid w:val="005147DC"/>
    <w:rsid w:val="00515AD0"/>
    <w:rsid w:val="00522224"/>
    <w:rsid w:val="005261F4"/>
    <w:rsid w:val="0053018B"/>
    <w:rsid w:val="005311A2"/>
    <w:rsid w:val="005312C0"/>
    <w:rsid w:val="0053421B"/>
    <w:rsid w:val="0053428E"/>
    <w:rsid w:val="00534BDE"/>
    <w:rsid w:val="00534F43"/>
    <w:rsid w:val="00535DB0"/>
    <w:rsid w:val="0053631F"/>
    <w:rsid w:val="00536CC1"/>
    <w:rsid w:val="005373F5"/>
    <w:rsid w:val="00537FA7"/>
    <w:rsid w:val="005411AC"/>
    <w:rsid w:val="00542FF4"/>
    <w:rsid w:val="00543DD2"/>
    <w:rsid w:val="00544A02"/>
    <w:rsid w:val="00545E89"/>
    <w:rsid w:val="00547899"/>
    <w:rsid w:val="005528DB"/>
    <w:rsid w:val="005537E3"/>
    <w:rsid w:val="00554175"/>
    <w:rsid w:val="00554C63"/>
    <w:rsid w:val="005564FD"/>
    <w:rsid w:val="005565AC"/>
    <w:rsid w:val="00556DA2"/>
    <w:rsid w:val="0056058D"/>
    <w:rsid w:val="0056073D"/>
    <w:rsid w:val="005619DD"/>
    <w:rsid w:val="00562777"/>
    <w:rsid w:val="0056426D"/>
    <w:rsid w:val="00570B9E"/>
    <w:rsid w:val="005723C2"/>
    <w:rsid w:val="00572C31"/>
    <w:rsid w:val="00573F65"/>
    <w:rsid w:val="005768A8"/>
    <w:rsid w:val="005805BF"/>
    <w:rsid w:val="00580A30"/>
    <w:rsid w:val="00581E69"/>
    <w:rsid w:val="00582184"/>
    <w:rsid w:val="00582666"/>
    <w:rsid w:val="00582F79"/>
    <w:rsid w:val="00591509"/>
    <w:rsid w:val="00592093"/>
    <w:rsid w:val="00592A62"/>
    <w:rsid w:val="00592F22"/>
    <w:rsid w:val="005956E0"/>
    <w:rsid w:val="00595F7A"/>
    <w:rsid w:val="00596006"/>
    <w:rsid w:val="0059628E"/>
    <w:rsid w:val="00597B80"/>
    <w:rsid w:val="005A3250"/>
    <w:rsid w:val="005A3D04"/>
    <w:rsid w:val="005A47B1"/>
    <w:rsid w:val="005B1634"/>
    <w:rsid w:val="005B2158"/>
    <w:rsid w:val="005B21AF"/>
    <w:rsid w:val="005B4C9C"/>
    <w:rsid w:val="005B5DD6"/>
    <w:rsid w:val="005B5EB8"/>
    <w:rsid w:val="005C1FF2"/>
    <w:rsid w:val="005C248B"/>
    <w:rsid w:val="005C33DD"/>
    <w:rsid w:val="005C3A30"/>
    <w:rsid w:val="005C3ABE"/>
    <w:rsid w:val="005C3CFD"/>
    <w:rsid w:val="005C7463"/>
    <w:rsid w:val="005C79EF"/>
    <w:rsid w:val="005D0FA1"/>
    <w:rsid w:val="005D4DB9"/>
    <w:rsid w:val="005E06AF"/>
    <w:rsid w:val="005E20D3"/>
    <w:rsid w:val="005E38E7"/>
    <w:rsid w:val="005E3961"/>
    <w:rsid w:val="005E7A5E"/>
    <w:rsid w:val="005F118F"/>
    <w:rsid w:val="005F300A"/>
    <w:rsid w:val="005F3826"/>
    <w:rsid w:val="006026B1"/>
    <w:rsid w:val="00607072"/>
    <w:rsid w:val="00610884"/>
    <w:rsid w:val="00610910"/>
    <w:rsid w:val="00611C34"/>
    <w:rsid w:val="006127B2"/>
    <w:rsid w:val="00612A93"/>
    <w:rsid w:val="00613F16"/>
    <w:rsid w:val="00616C55"/>
    <w:rsid w:val="00616D18"/>
    <w:rsid w:val="00617527"/>
    <w:rsid w:val="006175B8"/>
    <w:rsid w:val="0062500B"/>
    <w:rsid w:val="00625D7C"/>
    <w:rsid w:val="00626BC2"/>
    <w:rsid w:val="006312BD"/>
    <w:rsid w:val="006374CC"/>
    <w:rsid w:val="00640FB9"/>
    <w:rsid w:val="00641D7B"/>
    <w:rsid w:val="00641D8E"/>
    <w:rsid w:val="00642A38"/>
    <w:rsid w:val="006445C9"/>
    <w:rsid w:val="00645088"/>
    <w:rsid w:val="00645F53"/>
    <w:rsid w:val="006502B8"/>
    <w:rsid w:val="00655224"/>
    <w:rsid w:val="0065648B"/>
    <w:rsid w:val="00656E86"/>
    <w:rsid w:val="00657622"/>
    <w:rsid w:val="00657B06"/>
    <w:rsid w:val="00660B9A"/>
    <w:rsid w:val="00661699"/>
    <w:rsid w:val="00661876"/>
    <w:rsid w:val="006668D9"/>
    <w:rsid w:val="00671BA7"/>
    <w:rsid w:val="006720B6"/>
    <w:rsid w:val="0067293D"/>
    <w:rsid w:val="00682B10"/>
    <w:rsid w:val="00682E89"/>
    <w:rsid w:val="006833E2"/>
    <w:rsid w:val="00685AA9"/>
    <w:rsid w:val="006873C0"/>
    <w:rsid w:val="006873EB"/>
    <w:rsid w:val="00690580"/>
    <w:rsid w:val="00693C09"/>
    <w:rsid w:val="00694D85"/>
    <w:rsid w:val="00695C40"/>
    <w:rsid w:val="00696B1F"/>
    <w:rsid w:val="006A173D"/>
    <w:rsid w:val="006A371C"/>
    <w:rsid w:val="006A553E"/>
    <w:rsid w:val="006A5DDC"/>
    <w:rsid w:val="006A7A8A"/>
    <w:rsid w:val="006A7E26"/>
    <w:rsid w:val="006B1C04"/>
    <w:rsid w:val="006B2E86"/>
    <w:rsid w:val="006C111D"/>
    <w:rsid w:val="006C30A0"/>
    <w:rsid w:val="006C39F4"/>
    <w:rsid w:val="006C7AD0"/>
    <w:rsid w:val="006D19FE"/>
    <w:rsid w:val="006D1E15"/>
    <w:rsid w:val="006D28BB"/>
    <w:rsid w:val="006D3C47"/>
    <w:rsid w:val="006D5B83"/>
    <w:rsid w:val="006D6D7A"/>
    <w:rsid w:val="006E4766"/>
    <w:rsid w:val="006E50CD"/>
    <w:rsid w:val="006E5382"/>
    <w:rsid w:val="006E6909"/>
    <w:rsid w:val="006E756E"/>
    <w:rsid w:val="006E7EC2"/>
    <w:rsid w:val="006F41BF"/>
    <w:rsid w:val="00701E08"/>
    <w:rsid w:val="00703034"/>
    <w:rsid w:val="00703060"/>
    <w:rsid w:val="00703614"/>
    <w:rsid w:val="00704730"/>
    <w:rsid w:val="007067B5"/>
    <w:rsid w:val="00712841"/>
    <w:rsid w:val="00712D8F"/>
    <w:rsid w:val="007168AA"/>
    <w:rsid w:val="007173B3"/>
    <w:rsid w:val="00717F50"/>
    <w:rsid w:val="00726143"/>
    <w:rsid w:val="0072773B"/>
    <w:rsid w:val="00731C50"/>
    <w:rsid w:val="00734106"/>
    <w:rsid w:val="00734115"/>
    <w:rsid w:val="0074272D"/>
    <w:rsid w:val="007429FB"/>
    <w:rsid w:val="00744BCD"/>
    <w:rsid w:val="007454A0"/>
    <w:rsid w:val="00747019"/>
    <w:rsid w:val="00747FCE"/>
    <w:rsid w:val="00750646"/>
    <w:rsid w:val="00751608"/>
    <w:rsid w:val="00752A94"/>
    <w:rsid w:val="00753685"/>
    <w:rsid w:val="007550D0"/>
    <w:rsid w:val="00755C09"/>
    <w:rsid w:val="00756F36"/>
    <w:rsid w:val="00763082"/>
    <w:rsid w:val="00764B1D"/>
    <w:rsid w:val="007659A3"/>
    <w:rsid w:val="00771606"/>
    <w:rsid w:val="007718BC"/>
    <w:rsid w:val="00771D3F"/>
    <w:rsid w:val="007727C7"/>
    <w:rsid w:val="00772830"/>
    <w:rsid w:val="00772FB8"/>
    <w:rsid w:val="00774A29"/>
    <w:rsid w:val="0077538D"/>
    <w:rsid w:val="00782DDD"/>
    <w:rsid w:val="00783C94"/>
    <w:rsid w:val="0078417B"/>
    <w:rsid w:val="007844FD"/>
    <w:rsid w:val="007853AD"/>
    <w:rsid w:val="00785B48"/>
    <w:rsid w:val="0078644C"/>
    <w:rsid w:val="00786FBC"/>
    <w:rsid w:val="0079021A"/>
    <w:rsid w:val="007A7A32"/>
    <w:rsid w:val="007B0EEC"/>
    <w:rsid w:val="007B1EED"/>
    <w:rsid w:val="007B523A"/>
    <w:rsid w:val="007B61C9"/>
    <w:rsid w:val="007B6B72"/>
    <w:rsid w:val="007C72A8"/>
    <w:rsid w:val="007C7DB4"/>
    <w:rsid w:val="007D28EF"/>
    <w:rsid w:val="007D2D57"/>
    <w:rsid w:val="007D4A9E"/>
    <w:rsid w:val="007D620B"/>
    <w:rsid w:val="007D667F"/>
    <w:rsid w:val="007E3960"/>
    <w:rsid w:val="007E5B6E"/>
    <w:rsid w:val="007E67CE"/>
    <w:rsid w:val="007F1A85"/>
    <w:rsid w:val="007F2DB5"/>
    <w:rsid w:val="007F39EF"/>
    <w:rsid w:val="007F4A85"/>
    <w:rsid w:val="008011EF"/>
    <w:rsid w:val="00802088"/>
    <w:rsid w:val="00802F49"/>
    <w:rsid w:val="00803A7E"/>
    <w:rsid w:val="00804084"/>
    <w:rsid w:val="008046F2"/>
    <w:rsid w:val="00806F76"/>
    <w:rsid w:val="00806FC0"/>
    <w:rsid w:val="008075C4"/>
    <w:rsid w:val="00807A4F"/>
    <w:rsid w:val="008123C7"/>
    <w:rsid w:val="0081574E"/>
    <w:rsid w:val="00815EC1"/>
    <w:rsid w:val="00820380"/>
    <w:rsid w:val="00820F55"/>
    <w:rsid w:val="00822459"/>
    <w:rsid w:val="0082339A"/>
    <w:rsid w:val="00824615"/>
    <w:rsid w:val="00834864"/>
    <w:rsid w:val="00836146"/>
    <w:rsid w:val="00837358"/>
    <w:rsid w:val="00840278"/>
    <w:rsid w:val="00840B53"/>
    <w:rsid w:val="00842CEA"/>
    <w:rsid w:val="00847896"/>
    <w:rsid w:val="00850549"/>
    <w:rsid w:val="00850585"/>
    <w:rsid w:val="00851E5C"/>
    <w:rsid w:val="008534F5"/>
    <w:rsid w:val="0085408A"/>
    <w:rsid w:val="00854723"/>
    <w:rsid w:val="00854CB9"/>
    <w:rsid w:val="008554D7"/>
    <w:rsid w:val="008625CF"/>
    <w:rsid w:val="008632E4"/>
    <w:rsid w:val="00863B4B"/>
    <w:rsid w:val="00863D26"/>
    <w:rsid w:val="0086434C"/>
    <w:rsid w:val="00864688"/>
    <w:rsid w:val="0086616F"/>
    <w:rsid w:val="00867192"/>
    <w:rsid w:val="00867AD2"/>
    <w:rsid w:val="00874727"/>
    <w:rsid w:val="00880DC9"/>
    <w:rsid w:val="00882825"/>
    <w:rsid w:val="0088605A"/>
    <w:rsid w:val="008869CC"/>
    <w:rsid w:val="00890A4C"/>
    <w:rsid w:val="008917B6"/>
    <w:rsid w:val="00896C15"/>
    <w:rsid w:val="00897180"/>
    <w:rsid w:val="00897457"/>
    <w:rsid w:val="0089767C"/>
    <w:rsid w:val="008A0160"/>
    <w:rsid w:val="008A0966"/>
    <w:rsid w:val="008A3829"/>
    <w:rsid w:val="008A6452"/>
    <w:rsid w:val="008A6ED0"/>
    <w:rsid w:val="008A7900"/>
    <w:rsid w:val="008A7D92"/>
    <w:rsid w:val="008B2188"/>
    <w:rsid w:val="008B2F24"/>
    <w:rsid w:val="008B49DB"/>
    <w:rsid w:val="008B4B04"/>
    <w:rsid w:val="008B4FA9"/>
    <w:rsid w:val="008B6955"/>
    <w:rsid w:val="008C1DC7"/>
    <w:rsid w:val="008C20D0"/>
    <w:rsid w:val="008C2737"/>
    <w:rsid w:val="008C4916"/>
    <w:rsid w:val="008C5520"/>
    <w:rsid w:val="008D02DC"/>
    <w:rsid w:val="008D0417"/>
    <w:rsid w:val="008D24B9"/>
    <w:rsid w:val="008D29B8"/>
    <w:rsid w:val="008D35B2"/>
    <w:rsid w:val="008D431A"/>
    <w:rsid w:val="008D433B"/>
    <w:rsid w:val="008D44B2"/>
    <w:rsid w:val="008D4D4C"/>
    <w:rsid w:val="008D5CF0"/>
    <w:rsid w:val="008D5ED8"/>
    <w:rsid w:val="008D7B3C"/>
    <w:rsid w:val="008E3C08"/>
    <w:rsid w:val="008E54C3"/>
    <w:rsid w:val="008E5D56"/>
    <w:rsid w:val="008E5E28"/>
    <w:rsid w:val="008F1E8B"/>
    <w:rsid w:val="008F1FF5"/>
    <w:rsid w:val="008F76AC"/>
    <w:rsid w:val="00900C14"/>
    <w:rsid w:val="00901398"/>
    <w:rsid w:val="0090193E"/>
    <w:rsid w:val="00907CCE"/>
    <w:rsid w:val="0091600C"/>
    <w:rsid w:val="0091705A"/>
    <w:rsid w:val="009202E9"/>
    <w:rsid w:val="009226BD"/>
    <w:rsid w:val="009236A0"/>
    <w:rsid w:val="00923A30"/>
    <w:rsid w:val="00923D1A"/>
    <w:rsid w:val="00924401"/>
    <w:rsid w:val="009306EA"/>
    <w:rsid w:val="00934478"/>
    <w:rsid w:val="00935A1C"/>
    <w:rsid w:val="00936B32"/>
    <w:rsid w:val="00936D61"/>
    <w:rsid w:val="00941446"/>
    <w:rsid w:val="00944764"/>
    <w:rsid w:val="00946B26"/>
    <w:rsid w:val="00952525"/>
    <w:rsid w:val="00952BF1"/>
    <w:rsid w:val="00953A5D"/>
    <w:rsid w:val="00953FF2"/>
    <w:rsid w:val="00954C43"/>
    <w:rsid w:val="00955284"/>
    <w:rsid w:val="00960048"/>
    <w:rsid w:val="00960523"/>
    <w:rsid w:val="009611FB"/>
    <w:rsid w:val="00962DE5"/>
    <w:rsid w:val="00963E88"/>
    <w:rsid w:val="0096474A"/>
    <w:rsid w:val="0096654B"/>
    <w:rsid w:val="00966638"/>
    <w:rsid w:val="00972FF3"/>
    <w:rsid w:val="0097301C"/>
    <w:rsid w:val="00975FC8"/>
    <w:rsid w:val="009769D4"/>
    <w:rsid w:val="0098319E"/>
    <w:rsid w:val="009838E8"/>
    <w:rsid w:val="009847FF"/>
    <w:rsid w:val="00984E63"/>
    <w:rsid w:val="009866C9"/>
    <w:rsid w:val="009900E4"/>
    <w:rsid w:val="009903DD"/>
    <w:rsid w:val="00991C7E"/>
    <w:rsid w:val="00991CD6"/>
    <w:rsid w:val="009922C0"/>
    <w:rsid w:val="0099314A"/>
    <w:rsid w:val="009933C1"/>
    <w:rsid w:val="00996BB7"/>
    <w:rsid w:val="009A13DC"/>
    <w:rsid w:val="009A2FA4"/>
    <w:rsid w:val="009A3E0A"/>
    <w:rsid w:val="009A5C0A"/>
    <w:rsid w:val="009A6FEE"/>
    <w:rsid w:val="009B054F"/>
    <w:rsid w:val="009B0BB4"/>
    <w:rsid w:val="009B26B1"/>
    <w:rsid w:val="009B2757"/>
    <w:rsid w:val="009B2C03"/>
    <w:rsid w:val="009B326F"/>
    <w:rsid w:val="009B380C"/>
    <w:rsid w:val="009B6044"/>
    <w:rsid w:val="009B62F9"/>
    <w:rsid w:val="009C1FD6"/>
    <w:rsid w:val="009C206E"/>
    <w:rsid w:val="009C2C21"/>
    <w:rsid w:val="009C32F6"/>
    <w:rsid w:val="009C592E"/>
    <w:rsid w:val="009C5DA7"/>
    <w:rsid w:val="009C6BA6"/>
    <w:rsid w:val="009D0A85"/>
    <w:rsid w:val="009D43A1"/>
    <w:rsid w:val="009D43A9"/>
    <w:rsid w:val="009D5805"/>
    <w:rsid w:val="009E0823"/>
    <w:rsid w:val="009E2140"/>
    <w:rsid w:val="009E21AA"/>
    <w:rsid w:val="009E430B"/>
    <w:rsid w:val="009E434A"/>
    <w:rsid w:val="009E494D"/>
    <w:rsid w:val="009F0214"/>
    <w:rsid w:val="009F05D8"/>
    <w:rsid w:val="009F213A"/>
    <w:rsid w:val="009F6CBF"/>
    <w:rsid w:val="009F7789"/>
    <w:rsid w:val="00A00016"/>
    <w:rsid w:val="00A007C5"/>
    <w:rsid w:val="00A00C66"/>
    <w:rsid w:val="00A02B92"/>
    <w:rsid w:val="00A10ACF"/>
    <w:rsid w:val="00A11C3A"/>
    <w:rsid w:val="00A11CED"/>
    <w:rsid w:val="00A11F00"/>
    <w:rsid w:val="00A14DC6"/>
    <w:rsid w:val="00A1551B"/>
    <w:rsid w:val="00A171F4"/>
    <w:rsid w:val="00A1763D"/>
    <w:rsid w:val="00A17A7E"/>
    <w:rsid w:val="00A25460"/>
    <w:rsid w:val="00A2765E"/>
    <w:rsid w:val="00A30FEF"/>
    <w:rsid w:val="00A33F7C"/>
    <w:rsid w:val="00A36B23"/>
    <w:rsid w:val="00A374C1"/>
    <w:rsid w:val="00A4427B"/>
    <w:rsid w:val="00A44646"/>
    <w:rsid w:val="00A45AE1"/>
    <w:rsid w:val="00A50160"/>
    <w:rsid w:val="00A53564"/>
    <w:rsid w:val="00A5459E"/>
    <w:rsid w:val="00A57503"/>
    <w:rsid w:val="00A57F41"/>
    <w:rsid w:val="00A60A56"/>
    <w:rsid w:val="00A62562"/>
    <w:rsid w:val="00A62825"/>
    <w:rsid w:val="00A6460F"/>
    <w:rsid w:val="00A66FBF"/>
    <w:rsid w:val="00A71843"/>
    <w:rsid w:val="00A724AD"/>
    <w:rsid w:val="00A724D9"/>
    <w:rsid w:val="00A7269D"/>
    <w:rsid w:val="00A72FE7"/>
    <w:rsid w:val="00A73CF9"/>
    <w:rsid w:val="00A74D12"/>
    <w:rsid w:val="00A750E5"/>
    <w:rsid w:val="00A7557C"/>
    <w:rsid w:val="00A75971"/>
    <w:rsid w:val="00A8165F"/>
    <w:rsid w:val="00A833B4"/>
    <w:rsid w:val="00A9011D"/>
    <w:rsid w:val="00A9079A"/>
    <w:rsid w:val="00A92D88"/>
    <w:rsid w:val="00A93254"/>
    <w:rsid w:val="00A94FCE"/>
    <w:rsid w:val="00A95452"/>
    <w:rsid w:val="00A967C4"/>
    <w:rsid w:val="00A97F2B"/>
    <w:rsid w:val="00AA18CC"/>
    <w:rsid w:val="00AA298E"/>
    <w:rsid w:val="00AA44FA"/>
    <w:rsid w:val="00AA46F0"/>
    <w:rsid w:val="00AA48D5"/>
    <w:rsid w:val="00AA51CC"/>
    <w:rsid w:val="00AB10D1"/>
    <w:rsid w:val="00AB139A"/>
    <w:rsid w:val="00AB2686"/>
    <w:rsid w:val="00AB51C1"/>
    <w:rsid w:val="00AB520C"/>
    <w:rsid w:val="00AB5806"/>
    <w:rsid w:val="00AB5E94"/>
    <w:rsid w:val="00AB7379"/>
    <w:rsid w:val="00AB7895"/>
    <w:rsid w:val="00AC3E9F"/>
    <w:rsid w:val="00AC4A2B"/>
    <w:rsid w:val="00AC4C23"/>
    <w:rsid w:val="00AC54B9"/>
    <w:rsid w:val="00AC6170"/>
    <w:rsid w:val="00AC67E4"/>
    <w:rsid w:val="00AC6998"/>
    <w:rsid w:val="00AC71DD"/>
    <w:rsid w:val="00AD2D24"/>
    <w:rsid w:val="00AD644C"/>
    <w:rsid w:val="00AD7985"/>
    <w:rsid w:val="00AE096D"/>
    <w:rsid w:val="00AE0AFD"/>
    <w:rsid w:val="00AE1706"/>
    <w:rsid w:val="00AE3AC0"/>
    <w:rsid w:val="00AE4FD0"/>
    <w:rsid w:val="00AE5D9C"/>
    <w:rsid w:val="00AE6903"/>
    <w:rsid w:val="00AE6A17"/>
    <w:rsid w:val="00AF4CDB"/>
    <w:rsid w:val="00B00F8E"/>
    <w:rsid w:val="00B01D71"/>
    <w:rsid w:val="00B02619"/>
    <w:rsid w:val="00B030EA"/>
    <w:rsid w:val="00B06A4F"/>
    <w:rsid w:val="00B07572"/>
    <w:rsid w:val="00B10925"/>
    <w:rsid w:val="00B134D0"/>
    <w:rsid w:val="00B13C00"/>
    <w:rsid w:val="00B15E99"/>
    <w:rsid w:val="00B201C7"/>
    <w:rsid w:val="00B30972"/>
    <w:rsid w:val="00B31D86"/>
    <w:rsid w:val="00B32F13"/>
    <w:rsid w:val="00B34326"/>
    <w:rsid w:val="00B4229C"/>
    <w:rsid w:val="00B45A70"/>
    <w:rsid w:val="00B4619A"/>
    <w:rsid w:val="00B4725F"/>
    <w:rsid w:val="00B51988"/>
    <w:rsid w:val="00B52D60"/>
    <w:rsid w:val="00B54588"/>
    <w:rsid w:val="00B57496"/>
    <w:rsid w:val="00B57FC4"/>
    <w:rsid w:val="00B60454"/>
    <w:rsid w:val="00B60803"/>
    <w:rsid w:val="00B618E3"/>
    <w:rsid w:val="00B622E6"/>
    <w:rsid w:val="00B6361B"/>
    <w:rsid w:val="00B63822"/>
    <w:rsid w:val="00B70BBE"/>
    <w:rsid w:val="00B71FF5"/>
    <w:rsid w:val="00B72652"/>
    <w:rsid w:val="00B73EA1"/>
    <w:rsid w:val="00B75F93"/>
    <w:rsid w:val="00B769F7"/>
    <w:rsid w:val="00B81D12"/>
    <w:rsid w:val="00B82721"/>
    <w:rsid w:val="00B8382E"/>
    <w:rsid w:val="00B855F2"/>
    <w:rsid w:val="00B8705F"/>
    <w:rsid w:val="00B92081"/>
    <w:rsid w:val="00B9256F"/>
    <w:rsid w:val="00B92E20"/>
    <w:rsid w:val="00B931AD"/>
    <w:rsid w:val="00B93C04"/>
    <w:rsid w:val="00B94236"/>
    <w:rsid w:val="00B95080"/>
    <w:rsid w:val="00B9563B"/>
    <w:rsid w:val="00B978C9"/>
    <w:rsid w:val="00BA16FB"/>
    <w:rsid w:val="00BA1DDA"/>
    <w:rsid w:val="00BA33F7"/>
    <w:rsid w:val="00BA45FE"/>
    <w:rsid w:val="00BB2224"/>
    <w:rsid w:val="00BB2B6B"/>
    <w:rsid w:val="00BB3DD2"/>
    <w:rsid w:val="00BB411E"/>
    <w:rsid w:val="00BB5371"/>
    <w:rsid w:val="00BB5952"/>
    <w:rsid w:val="00BB74E0"/>
    <w:rsid w:val="00BB75C5"/>
    <w:rsid w:val="00BC14D2"/>
    <w:rsid w:val="00BC1711"/>
    <w:rsid w:val="00BC250F"/>
    <w:rsid w:val="00BC54DD"/>
    <w:rsid w:val="00BD0185"/>
    <w:rsid w:val="00BD06AA"/>
    <w:rsid w:val="00BD3851"/>
    <w:rsid w:val="00BD3956"/>
    <w:rsid w:val="00BD42A3"/>
    <w:rsid w:val="00BD6BFA"/>
    <w:rsid w:val="00BE0D02"/>
    <w:rsid w:val="00BE14C0"/>
    <w:rsid w:val="00BE36FF"/>
    <w:rsid w:val="00BE5C74"/>
    <w:rsid w:val="00BE603F"/>
    <w:rsid w:val="00BE6D56"/>
    <w:rsid w:val="00BE6E3C"/>
    <w:rsid w:val="00BF3B1A"/>
    <w:rsid w:val="00BF410A"/>
    <w:rsid w:val="00C008D1"/>
    <w:rsid w:val="00C0091C"/>
    <w:rsid w:val="00C12B4B"/>
    <w:rsid w:val="00C158CD"/>
    <w:rsid w:val="00C1761E"/>
    <w:rsid w:val="00C17F58"/>
    <w:rsid w:val="00C20BD4"/>
    <w:rsid w:val="00C20DC5"/>
    <w:rsid w:val="00C214AA"/>
    <w:rsid w:val="00C24687"/>
    <w:rsid w:val="00C266A0"/>
    <w:rsid w:val="00C27134"/>
    <w:rsid w:val="00C31078"/>
    <w:rsid w:val="00C31A12"/>
    <w:rsid w:val="00C31F68"/>
    <w:rsid w:val="00C3499E"/>
    <w:rsid w:val="00C35BEF"/>
    <w:rsid w:val="00C36B43"/>
    <w:rsid w:val="00C4140F"/>
    <w:rsid w:val="00C42C1F"/>
    <w:rsid w:val="00C43D1F"/>
    <w:rsid w:val="00C47024"/>
    <w:rsid w:val="00C47890"/>
    <w:rsid w:val="00C47DDA"/>
    <w:rsid w:val="00C50307"/>
    <w:rsid w:val="00C505B6"/>
    <w:rsid w:val="00C5092F"/>
    <w:rsid w:val="00C5192F"/>
    <w:rsid w:val="00C5209E"/>
    <w:rsid w:val="00C5292E"/>
    <w:rsid w:val="00C5363B"/>
    <w:rsid w:val="00C53BDE"/>
    <w:rsid w:val="00C53D78"/>
    <w:rsid w:val="00C54473"/>
    <w:rsid w:val="00C55C92"/>
    <w:rsid w:val="00C56883"/>
    <w:rsid w:val="00C604DD"/>
    <w:rsid w:val="00C62366"/>
    <w:rsid w:val="00C62BFF"/>
    <w:rsid w:val="00C66654"/>
    <w:rsid w:val="00C67D76"/>
    <w:rsid w:val="00C70C20"/>
    <w:rsid w:val="00C711F3"/>
    <w:rsid w:val="00C71CBA"/>
    <w:rsid w:val="00C74FBB"/>
    <w:rsid w:val="00C761A1"/>
    <w:rsid w:val="00C76705"/>
    <w:rsid w:val="00C80646"/>
    <w:rsid w:val="00C80D39"/>
    <w:rsid w:val="00C824A2"/>
    <w:rsid w:val="00C85E55"/>
    <w:rsid w:val="00C87226"/>
    <w:rsid w:val="00C87614"/>
    <w:rsid w:val="00C914B1"/>
    <w:rsid w:val="00C93276"/>
    <w:rsid w:val="00C93438"/>
    <w:rsid w:val="00C9376F"/>
    <w:rsid w:val="00C94F56"/>
    <w:rsid w:val="00C979C4"/>
    <w:rsid w:val="00C97E7A"/>
    <w:rsid w:val="00CA1665"/>
    <w:rsid w:val="00CA355F"/>
    <w:rsid w:val="00CA4FBA"/>
    <w:rsid w:val="00CA6EF5"/>
    <w:rsid w:val="00CA79A8"/>
    <w:rsid w:val="00CB0975"/>
    <w:rsid w:val="00CB3BEA"/>
    <w:rsid w:val="00CB4094"/>
    <w:rsid w:val="00CB6134"/>
    <w:rsid w:val="00CB74E7"/>
    <w:rsid w:val="00CB78BB"/>
    <w:rsid w:val="00CC1397"/>
    <w:rsid w:val="00CC286E"/>
    <w:rsid w:val="00CC2D22"/>
    <w:rsid w:val="00CC3B56"/>
    <w:rsid w:val="00CC6606"/>
    <w:rsid w:val="00CD0283"/>
    <w:rsid w:val="00CD08C7"/>
    <w:rsid w:val="00CD1ED3"/>
    <w:rsid w:val="00CD2CB1"/>
    <w:rsid w:val="00CD5F7E"/>
    <w:rsid w:val="00CD724F"/>
    <w:rsid w:val="00CE135F"/>
    <w:rsid w:val="00CE48A2"/>
    <w:rsid w:val="00CE7A38"/>
    <w:rsid w:val="00CF092B"/>
    <w:rsid w:val="00CF2368"/>
    <w:rsid w:val="00CF2EE8"/>
    <w:rsid w:val="00CF3582"/>
    <w:rsid w:val="00CF4409"/>
    <w:rsid w:val="00CF4DAF"/>
    <w:rsid w:val="00D01ADD"/>
    <w:rsid w:val="00D02F6E"/>
    <w:rsid w:val="00D05831"/>
    <w:rsid w:val="00D11920"/>
    <w:rsid w:val="00D13ABA"/>
    <w:rsid w:val="00D171A8"/>
    <w:rsid w:val="00D173CE"/>
    <w:rsid w:val="00D2141C"/>
    <w:rsid w:val="00D2434E"/>
    <w:rsid w:val="00D2724F"/>
    <w:rsid w:val="00D27AB8"/>
    <w:rsid w:val="00D30019"/>
    <w:rsid w:val="00D30769"/>
    <w:rsid w:val="00D32187"/>
    <w:rsid w:val="00D33285"/>
    <w:rsid w:val="00D34941"/>
    <w:rsid w:val="00D3507A"/>
    <w:rsid w:val="00D35B8F"/>
    <w:rsid w:val="00D35F23"/>
    <w:rsid w:val="00D42E64"/>
    <w:rsid w:val="00D43ADD"/>
    <w:rsid w:val="00D545BA"/>
    <w:rsid w:val="00D56788"/>
    <w:rsid w:val="00D6011E"/>
    <w:rsid w:val="00D6149E"/>
    <w:rsid w:val="00D64401"/>
    <w:rsid w:val="00D6614D"/>
    <w:rsid w:val="00D73E1D"/>
    <w:rsid w:val="00D754D4"/>
    <w:rsid w:val="00D76832"/>
    <w:rsid w:val="00D77758"/>
    <w:rsid w:val="00D81A63"/>
    <w:rsid w:val="00D8334F"/>
    <w:rsid w:val="00D84EFE"/>
    <w:rsid w:val="00D85234"/>
    <w:rsid w:val="00D8593C"/>
    <w:rsid w:val="00D86AF5"/>
    <w:rsid w:val="00D87ADB"/>
    <w:rsid w:val="00D942D2"/>
    <w:rsid w:val="00D958DF"/>
    <w:rsid w:val="00D97F6B"/>
    <w:rsid w:val="00DA0C31"/>
    <w:rsid w:val="00DA1362"/>
    <w:rsid w:val="00DA19E1"/>
    <w:rsid w:val="00DA1FB4"/>
    <w:rsid w:val="00DA3016"/>
    <w:rsid w:val="00DA480C"/>
    <w:rsid w:val="00DA5996"/>
    <w:rsid w:val="00DA79E3"/>
    <w:rsid w:val="00DB341F"/>
    <w:rsid w:val="00DB372E"/>
    <w:rsid w:val="00DB42B2"/>
    <w:rsid w:val="00DB4E98"/>
    <w:rsid w:val="00DB547B"/>
    <w:rsid w:val="00DB5C3F"/>
    <w:rsid w:val="00DB5EC2"/>
    <w:rsid w:val="00DB6DBF"/>
    <w:rsid w:val="00DC227F"/>
    <w:rsid w:val="00DC49CA"/>
    <w:rsid w:val="00DC5B58"/>
    <w:rsid w:val="00DC728E"/>
    <w:rsid w:val="00DC746D"/>
    <w:rsid w:val="00DD0AB7"/>
    <w:rsid w:val="00DD227D"/>
    <w:rsid w:val="00DD7747"/>
    <w:rsid w:val="00DE2AE6"/>
    <w:rsid w:val="00DE31FF"/>
    <w:rsid w:val="00DE3580"/>
    <w:rsid w:val="00DE6C69"/>
    <w:rsid w:val="00DE7306"/>
    <w:rsid w:val="00DE78BA"/>
    <w:rsid w:val="00DF74A0"/>
    <w:rsid w:val="00E07501"/>
    <w:rsid w:val="00E0751E"/>
    <w:rsid w:val="00E11E9B"/>
    <w:rsid w:val="00E12940"/>
    <w:rsid w:val="00E13AC5"/>
    <w:rsid w:val="00E161B4"/>
    <w:rsid w:val="00E217E4"/>
    <w:rsid w:val="00E22AC8"/>
    <w:rsid w:val="00E27F02"/>
    <w:rsid w:val="00E343CB"/>
    <w:rsid w:val="00E348DD"/>
    <w:rsid w:val="00E35440"/>
    <w:rsid w:val="00E364FB"/>
    <w:rsid w:val="00E37209"/>
    <w:rsid w:val="00E40D2A"/>
    <w:rsid w:val="00E4142D"/>
    <w:rsid w:val="00E47ABE"/>
    <w:rsid w:val="00E47B8C"/>
    <w:rsid w:val="00E5382A"/>
    <w:rsid w:val="00E564C5"/>
    <w:rsid w:val="00E56C58"/>
    <w:rsid w:val="00E57819"/>
    <w:rsid w:val="00E57959"/>
    <w:rsid w:val="00E57D3A"/>
    <w:rsid w:val="00E60C6E"/>
    <w:rsid w:val="00E6460F"/>
    <w:rsid w:val="00E646C7"/>
    <w:rsid w:val="00E647BC"/>
    <w:rsid w:val="00E64ABD"/>
    <w:rsid w:val="00E66322"/>
    <w:rsid w:val="00E7135B"/>
    <w:rsid w:val="00E7251C"/>
    <w:rsid w:val="00E728D9"/>
    <w:rsid w:val="00E74E4C"/>
    <w:rsid w:val="00E83707"/>
    <w:rsid w:val="00E83B3A"/>
    <w:rsid w:val="00E8534E"/>
    <w:rsid w:val="00E85F5F"/>
    <w:rsid w:val="00E86339"/>
    <w:rsid w:val="00E870C0"/>
    <w:rsid w:val="00E90238"/>
    <w:rsid w:val="00E90CEB"/>
    <w:rsid w:val="00E92712"/>
    <w:rsid w:val="00E938C7"/>
    <w:rsid w:val="00E96C67"/>
    <w:rsid w:val="00EA1C78"/>
    <w:rsid w:val="00EA3496"/>
    <w:rsid w:val="00EA35DE"/>
    <w:rsid w:val="00EA565D"/>
    <w:rsid w:val="00EB28E1"/>
    <w:rsid w:val="00EB2A05"/>
    <w:rsid w:val="00EB2CE7"/>
    <w:rsid w:val="00EB6DE4"/>
    <w:rsid w:val="00EB712C"/>
    <w:rsid w:val="00EB7F85"/>
    <w:rsid w:val="00EC1145"/>
    <w:rsid w:val="00EC2DDD"/>
    <w:rsid w:val="00EC311F"/>
    <w:rsid w:val="00EC3800"/>
    <w:rsid w:val="00EC425C"/>
    <w:rsid w:val="00EC46AC"/>
    <w:rsid w:val="00EC5658"/>
    <w:rsid w:val="00EC6AC3"/>
    <w:rsid w:val="00EC6D01"/>
    <w:rsid w:val="00EC7692"/>
    <w:rsid w:val="00EC7E57"/>
    <w:rsid w:val="00ED0EBD"/>
    <w:rsid w:val="00ED1822"/>
    <w:rsid w:val="00ED1E51"/>
    <w:rsid w:val="00ED5B34"/>
    <w:rsid w:val="00EE13C7"/>
    <w:rsid w:val="00EE3F3A"/>
    <w:rsid w:val="00EF3998"/>
    <w:rsid w:val="00EF4F26"/>
    <w:rsid w:val="00EF52F0"/>
    <w:rsid w:val="00EF55CB"/>
    <w:rsid w:val="00F01802"/>
    <w:rsid w:val="00F01C81"/>
    <w:rsid w:val="00F02C5B"/>
    <w:rsid w:val="00F03A20"/>
    <w:rsid w:val="00F05599"/>
    <w:rsid w:val="00F06F3A"/>
    <w:rsid w:val="00F07757"/>
    <w:rsid w:val="00F11373"/>
    <w:rsid w:val="00F1294C"/>
    <w:rsid w:val="00F134B8"/>
    <w:rsid w:val="00F163AF"/>
    <w:rsid w:val="00F20916"/>
    <w:rsid w:val="00F213D6"/>
    <w:rsid w:val="00F2258B"/>
    <w:rsid w:val="00F22909"/>
    <w:rsid w:val="00F23A0A"/>
    <w:rsid w:val="00F255E6"/>
    <w:rsid w:val="00F31475"/>
    <w:rsid w:val="00F32734"/>
    <w:rsid w:val="00F343B8"/>
    <w:rsid w:val="00F354F4"/>
    <w:rsid w:val="00F35924"/>
    <w:rsid w:val="00F40105"/>
    <w:rsid w:val="00F418D6"/>
    <w:rsid w:val="00F4250E"/>
    <w:rsid w:val="00F4313E"/>
    <w:rsid w:val="00F43783"/>
    <w:rsid w:val="00F4452A"/>
    <w:rsid w:val="00F456C9"/>
    <w:rsid w:val="00F47151"/>
    <w:rsid w:val="00F47DEE"/>
    <w:rsid w:val="00F51EF7"/>
    <w:rsid w:val="00F537CE"/>
    <w:rsid w:val="00F53FA3"/>
    <w:rsid w:val="00F608B3"/>
    <w:rsid w:val="00F62CD2"/>
    <w:rsid w:val="00F63388"/>
    <w:rsid w:val="00F64D7D"/>
    <w:rsid w:val="00F6564C"/>
    <w:rsid w:val="00F665E8"/>
    <w:rsid w:val="00F666FE"/>
    <w:rsid w:val="00F6710D"/>
    <w:rsid w:val="00F67207"/>
    <w:rsid w:val="00F743E8"/>
    <w:rsid w:val="00F76AF7"/>
    <w:rsid w:val="00F80D24"/>
    <w:rsid w:val="00F8183C"/>
    <w:rsid w:val="00F82E48"/>
    <w:rsid w:val="00F84FF5"/>
    <w:rsid w:val="00F86870"/>
    <w:rsid w:val="00F86B7E"/>
    <w:rsid w:val="00F90BA4"/>
    <w:rsid w:val="00F90DA5"/>
    <w:rsid w:val="00F92D5A"/>
    <w:rsid w:val="00FA0EE5"/>
    <w:rsid w:val="00FA11B2"/>
    <w:rsid w:val="00FA1382"/>
    <w:rsid w:val="00FA1899"/>
    <w:rsid w:val="00FA19B6"/>
    <w:rsid w:val="00FA2982"/>
    <w:rsid w:val="00FA3EB2"/>
    <w:rsid w:val="00FA4A1B"/>
    <w:rsid w:val="00FA62D6"/>
    <w:rsid w:val="00FB055F"/>
    <w:rsid w:val="00FB0B78"/>
    <w:rsid w:val="00FB1CE9"/>
    <w:rsid w:val="00FB24CD"/>
    <w:rsid w:val="00FB3E5A"/>
    <w:rsid w:val="00FB44DD"/>
    <w:rsid w:val="00FC0294"/>
    <w:rsid w:val="00FC03BB"/>
    <w:rsid w:val="00FC4EF8"/>
    <w:rsid w:val="00FD1CE8"/>
    <w:rsid w:val="00FD1FAA"/>
    <w:rsid w:val="00FD30FA"/>
    <w:rsid w:val="00FD7108"/>
    <w:rsid w:val="00FD72D3"/>
    <w:rsid w:val="00FE4465"/>
    <w:rsid w:val="00FE5DCA"/>
    <w:rsid w:val="00FF035C"/>
    <w:rsid w:val="00FF4C73"/>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4C42"/>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1"/>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 w:type="character" w:styleId="UnresolvedMention">
    <w:name w:val="Unresolved Mention"/>
    <w:basedOn w:val="DefaultParagraphFont"/>
    <w:uiPriority w:val="99"/>
    <w:semiHidden/>
    <w:unhideWhenUsed/>
    <w:rsid w:val="006D28BB"/>
    <w:rPr>
      <w:color w:val="605E5C"/>
      <w:shd w:val="clear" w:color="auto" w:fill="E1DFDD"/>
    </w:rPr>
  </w:style>
  <w:style w:type="paragraph" w:customStyle="1" w:styleId="NormalArial">
    <w:name w:val="Normal+Arial"/>
    <w:basedOn w:val="Normal"/>
    <w:link w:val="NormalArialChar"/>
    <w:rsid w:val="00771D3F"/>
    <w:rPr>
      <w:rFonts w:ascii="Arial" w:hAnsi="Arial"/>
    </w:rPr>
  </w:style>
  <w:style w:type="character" w:customStyle="1" w:styleId="NormalArialChar">
    <w:name w:val="Normal+Arial Char"/>
    <w:link w:val="NormalArial"/>
    <w:locked/>
    <w:rsid w:val="00771D3F"/>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895016">
      <w:bodyDiv w:val="1"/>
      <w:marLeft w:val="0"/>
      <w:marRight w:val="0"/>
      <w:marTop w:val="0"/>
      <w:marBottom w:val="0"/>
      <w:divBdr>
        <w:top w:val="none" w:sz="0" w:space="0" w:color="auto"/>
        <w:left w:val="none" w:sz="0" w:space="0" w:color="auto"/>
        <w:bottom w:val="none" w:sz="0" w:space="0" w:color="auto"/>
        <w:right w:val="none" w:sz="0" w:space="0" w:color="auto"/>
      </w:divBdr>
    </w:div>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rcot.com/calendar/02272024-Board-of-Directors-Meetin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2.xml><?xml version="1.0" encoding="utf-8"?>
<ds:datastoreItem xmlns:ds="http://schemas.openxmlformats.org/officeDocument/2006/customXml" ds:itemID="{553BAA5C-1262-4A02-8704-698E06921975}">
  <ds:schemaRefs>
    <ds:schemaRef ds:uri="http://schemas.openxmlformats.org/officeDocument/2006/bibliography"/>
  </ds:schemaRefs>
</ds:datastoreItem>
</file>

<file path=customXml/itemProps3.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B97500-9472-4C36-99B5-7068030F4C31}">
  <ds:schemaRefs>
    <ds:schemaRef ds:uri="http://schemas.microsoft.com/office/2006/metadata/properties"/>
    <ds:schemaRef ds:uri="http://schemas.microsoft.com/office/infopath/2007/PartnerControls"/>
    <ds:schemaRef ds:uri="c34af464-7aa1-4edd-9be4-83dffc1cb926"/>
  </ds:schemaRefs>
</ds:datastoreItem>
</file>

<file path=customXml/itemProps5.xml><?xml version="1.0" encoding="utf-8"?>
<ds:datastoreItem xmlns:ds="http://schemas.openxmlformats.org/officeDocument/2006/customXml" ds:itemID="{D7FA7AD7-F97A-494C-B44F-1612F0B1917D}">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12</Pages>
  <Words>3585</Words>
  <Characters>21996</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25530</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Levine, Jonathan</cp:lastModifiedBy>
  <cp:revision>6</cp:revision>
  <cp:lastPrinted>2019-09-26T13:16:00Z</cp:lastPrinted>
  <dcterms:created xsi:type="dcterms:W3CDTF">2024-02-16T16:44:00Z</dcterms:created>
  <dcterms:modified xsi:type="dcterms:W3CDTF">2024-02-20T19:43:00Z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y fmtid="{D5CDD505-2E9C-101B-9397-08002B2CF9AE}" pid="8" name="MSIP_Label_7084cbda-52b8-46fb-a7b7-cb5bd465ed85_Enabled">
    <vt:lpwstr>true</vt:lpwstr>
  </property>
  <property fmtid="{D5CDD505-2E9C-101B-9397-08002B2CF9AE}" pid="9" name="MSIP_Label_7084cbda-52b8-46fb-a7b7-cb5bd465ed85_SetDate">
    <vt:lpwstr>2023-07-31T14:45:16Z</vt:lpwstr>
  </property>
  <property fmtid="{D5CDD505-2E9C-101B-9397-08002B2CF9AE}" pid="10" name="MSIP_Label_7084cbda-52b8-46fb-a7b7-cb5bd465ed85_Method">
    <vt:lpwstr>Standard</vt:lpwstr>
  </property>
  <property fmtid="{D5CDD505-2E9C-101B-9397-08002B2CF9AE}" pid="11" name="MSIP_Label_7084cbda-52b8-46fb-a7b7-cb5bd465ed85_Name">
    <vt:lpwstr>Internal</vt:lpwstr>
  </property>
  <property fmtid="{D5CDD505-2E9C-101B-9397-08002B2CF9AE}" pid="12" name="MSIP_Label_7084cbda-52b8-46fb-a7b7-cb5bd465ed85_SiteId">
    <vt:lpwstr>0afb747d-bff7-4596-a9fc-950ef9e0ec45</vt:lpwstr>
  </property>
  <property fmtid="{D5CDD505-2E9C-101B-9397-08002B2CF9AE}" pid="13" name="MSIP_Label_7084cbda-52b8-46fb-a7b7-cb5bd465ed85_ActionId">
    <vt:lpwstr>b4c3efcd-60e4-4f02-b59e-ed0a7d7f849f</vt:lpwstr>
  </property>
  <property fmtid="{D5CDD505-2E9C-101B-9397-08002B2CF9AE}" pid="14" name="MSIP_Label_7084cbda-52b8-46fb-a7b7-cb5bd465ed85_ContentBits">
    <vt:lpwstr>0</vt:lpwstr>
  </property>
</Properties>
</file>